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4F917" w14:textId="77777777" w:rsidR="008F7FAD" w:rsidRPr="00B73F28" w:rsidRDefault="008F7FAD" w:rsidP="008F7FAD">
      <w:pPr>
        <w:spacing w:after="60"/>
        <w:ind w:left="720"/>
        <w:jc w:val="right"/>
        <w:rPr>
          <w:i/>
        </w:rPr>
      </w:pPr>
      <w:bookmarkStart w:id="0" w:name="_GoBack"/>
      <w:bookmarkEnd w:id="0"/>
      <w:r>
        <w:rPr>
          <w:i/>
        </w:rPr>
        <w:t>Modulo richiesta assegno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51"/>
        <w:gridCol w:w="5103"/>
        <w:gridCol w:w="1524"/>
      </w:tblGrid>
      <w:tr w:rsidR="008F7FAD" w:rsidRPr="00F70053" w14:paraId="4B257B52" w14:textId="77777777" w:rsidTr="00945AFC">
        <w:tc>
          <w:tcPr>
            <w:tcW w:w="2376" w:type="dxa"/>
            <w:shd w:val="clear" w:color="auto" w:fill="auto"/>
            <w:vAlign w:val="center"/>
          </w:tcPr>
          <w:p w14:paraId="1E24CEAF" w14:textId="77777777" w:rsidR="008F7FAD" w:rsidRPr="00F70053" w:rsidRDefault="008F7FAD" w:rsidP="00945AFC">
            <w:pPr>
              <w:spacing w:before="60" w:after="60"/>
              <w:jc w:val="both"/>
              <w:rPr>
                <w:b/>
                <w:sz w:val="28"/>
                <w:szCs w:val="28"/>
              </w:rPr>
            </w:pPr>
            <w:r>
              <w:br w:type="page"/>
            </w:r>
            <w:r w:rsidRPr="00F70053">
              <w:rPr>
                <w:b/>
                <w:sz w:val="28"/>
                <w:szCs w:val="28"/>
              </w:rPr>
              <w:br w:type="page"/>
            </w:r>
            <w:r w:rsidRPr="00F70053">
              <w:rPr>
                <w:b/>
                <w:sz w:val="28"/>
                <w:szCs w:val="28"/>
              </w:rPr>
              <w:br w:type="page"/>
            </w:r>
            <w:r w:rsidRPr="00F70053">
              <w:rPr>
                <w:b/>
                <w:sz w:val="28"/>
                <w:szCs w:val="28"/>
              </w:rPr>
              <w:br w:type="page"/>
              <w:t>TUTOR</w:t>
            </w:r>
          </w:p>
        </w:tc>
        <w:tc>
          <w:tcPr>
            <w:tcW w:w="7478" w:type="dxa"/>
            <w:gridSpan w:val="3"/>
            <w:shd w:val="clear" w:color="auto" w:fill="auto"/>
            <w:vAlign w:val="center"/>
          </w:tcPr>
          <w:p w14:paraId="0519D5A3" w14:textId="3E056EBE" w:rsidR="008F7FAD" w:rsidRPr="00F70053" w:rsidRDefault="00075FFE" w:rsidP="00945AFC">
            <w:pPr>
              <w:spacing w:before="60" w:after="60"/>
              <w:jc w:val="both"/>
              <w:rPr>
                <w:b/>
                <w:sz w:val="28"/>
                <w:szCs w:val="28"/>
              </w:rPr>
            </w:pPr>
            <w:r w:rsidRPr="008A5095">
              <w:rPr>
                <w:b/>
                <w:sz w:val="28"/>
                <w:szCs w:val="28"/>
              </w:rPr>
              <w:t>GIOVANNI BARBARA</w:t>
            </w:r>
          </w:p>
        </w:tc>
      </w:tr>
      <w:tr w:rsidR="008F7FAD" w:rsidRPr="00F70053" w14:paraId="0459E4D7" w14:textId="77777777" w:rsidTr="00945AFC">
        <w:tc>
          <w:tcPr>
            <w:tcW w:w="2376" w:type="dxa"/>
            <w:shd w:val="clear" w:color="auto" w:fill="auto"/>
            <w:vAlign w:val="center"/>
          </w:tcPr>
          <w:p w14:paraId="77F8DFF6" w14:textId="77777777" w:rsidR="008F7FAD" w:rsidRDefault="008F7FAD" w:rsidP="00945AFC">
            <w:pPr>
              <w:spacing w:before="60" w:after="60"/>
              <w:jc w:val="both"/>
            </w:pPr>
            <w:r>
              <w:t>Fascia VRA</w:t>
            </w:r>
          </w:p>
        </w:tc>
        <w:tc>
          <w:tcPr>
            <w:tcW w:w="5954" w:type="dxa"/>
            <w:gridSpan w:val="2"/>
            <w:shd w:val="clear" w:color="auto" w:fill="auto"/>
            <w:vAlign w:val="center"/>
          </w:tcPr>
          <w:p w14:paraId="21B4E524" w14:textId="77777777" w:rsidR="008F7FAD" w:rsidRPr="00FE6CF6" w:rsidRDefault="008F7FAD" w:rsidP="00945AFC">
            <w:pPr>
              <w:spacing w:before="60" w:after="60"/>
              <w:jc w:val="both"/>
              <w:rPr>
                <w:b/>
                <w:sz w:val="14"/>
                <w:szCs w:val="28"/>
                <w:u w:val="single"/>
              </w:rPr>
            </w:pPr>
            <w:r w:rsidRPr="008F7FAD">
              <w:rPr>
                <w:b/>
                <w:color w:val="548DD4"/>
                <w:sz w:val="14"/>
                <w:szCs w:val="28"/>
                <w:u w:val="single"/>
              </w:rPr>
              <w:t>(compilazione a cura della Giunta)</w:t>
            </w:r>
          </w:p>
        </w:tc>
        <w:tc>
          <w:tcPr>
            <w:tcW w:w="1524" w:type="dxa"/>
            <w:shd w:val="pct10" w:color="FFFF00" w:fill="auto"/>
            <w:vAlign w:val="center"/>
          </w:tcPr>
          <w:p w14:paraId="33C76AD3" w14:textId="77777777" w:rsidR="008F7FAD" w:rsidRPr="00E71E71" w:rsidRDefault="008F7FAD" w:rsidP="00945AFC">
            <w:pPr>
              <w:spacing w:before="60" w:after="60"/>
              <w:jc w:val="both"/>
              <w:rPr>
                <w:i/>
              </w:rPr>
            </w:pPr>
            <w:r w:rsidRPr="00E71E71">
              <w:rPr>
                <w:i/>
              </w:rPr>
              <w:t>Punti</w:t>
            </w:r>
            <w:r>
              <w:rPr>
                <w:i/>
              </w:rPr>
              <w:t xml:space="preserve"> </w:t>
            </w:r>
          </w:p>
        </w:tc>
      </w:tr>
      <w:tr w:rsidR="008F7FAD" w:rsidRPr="00F70053" w14:paraId="5C550576" w14:textId="77777777" w:rsidTr="00945AFC">
        <w:tc>
          <w:tcPr>
            <w:tcW w:w="8330" w:type="dxa"/>
            <w:gridSpan w:val="3"/>
            <w:shd w:val="clear" w:color="auto" w:fill="auto"/>
            <w:vAlign w:val="center"/>
          </w:tcPr>
          <w:p w14:paraId="07ACCAD3" w14:textId="77777777" w:rsidR="008F7FAD" w:rsidRPr="002E1FF5" w:rsidRDefault="008F7FAD" w:rsidP="00945AFC">
            <w:pPr>
              <w:spacing w:before="60" w:after="60"/>
              <w:jc w:val="both"/>
              <w:rPr>
                <w:b/>
                <w:sz w:val="28"/>
                <w:szCs w:val="28"/>
              </w:rPr>
            </w:pPr>
            <w:r w:rsidRPr="002E1FF5">
              <w:rPr>
                <w:b/>
                <w:sz w:val="28"/>
                <w:szCs w:val="28"/>
              </w:rPr>
              <w:t xml:space="preserve">PRODUZIONE SCIENTIFICA ASSEGNISTI </w:t>
            </w:r>
            <w:r w:rsidRPr="0083559D">
              <w:rPr>
                <w:b/>
                <w:sz w:val="28"/>
                <w:szCs w:val="28"/>
                <w:u w:val="single"/>
              </w:rPr>
              <w:t>NELL’ULTIMO QUADRIENNIO</w:t>
            </w:r>
          </w:p>
        </w:tc>
        <w:tc>
          <w:tcPr>
            <w:tcW w:w="1524" w:type="dxa"/>
            <w:shd w:val="pct10" w:color="FFFF00" w:fill="auto"/>
            <w:vAlign w:val="center"/>
          </w:tcPr>
          <w:p w14:paraId="0AEDB568" w14:textId="77777777" w:rsidR="008F7FAD" w:rsidRPr="002E1FF5" w:rsidRDefault="008F7FAD" w:rsidP="00945AFC">
            <w:pPr>
              <w:spacing w:before="60" w:after="60"/>
              <w:jc w:val="both"/>
              <w:rPr>
                <w:b/>
                <w:sz w:val="28"/>
                <w:szCs w:val="28"/>
              </w:rPr>
            </w:pPr>
            <w:r w:rsidRPr="00D52083">
              <w:rPr>
                <w:i/>
              </w:rPr>
              <w:t>Punti</w:t>
            </w:r>
          </w:p>
        </w:tc>
      </w:tr>
      <w:tr w:rsidR="008F7FAD" w:rsidRPr="00F70053" w14:paraId="4D2BF1E9" w14:textId="77777777" w:rsidTr="00945AFC">
        <w:tc>
          <w:tcPr>
            <w:tcW w:w="3227" w:type="dxa"/>
            <w:gridSpan w:val="2"/>
            <w:shd w:val="clear" w:color="auto" w:fill="auto"/>
            <w:vAlign w:val="center"/>
          </w:tcPr>
          <w:p w14:paraId="44BF5FED" w14:textId="77777777" w:rsidR="008F7FAD" w:rsidRPr="0021533C" w:rsidRDefault="008F7FAD" w:rsidP="00945AFC">
            <w:pPr>
              <w:spacing w:before="60" w:after="60"/>
              <w:jc w:val="both"/>
              <w:rPr>
                <w:sz w:val="28"/>
                <w:szCs w:val="28"/>
              </w:rPr>
            </w:pPr>
            <w:r>
              <w:rPr>
                <w:sz w:val="28"/>
                <w:szCs w:val="28"/>
              </w:rPr>
              <w:t>Nome e n° mesi assegnista 1</w:t>
            </w:r>
          </w:p>
        </w:tc>
        <w:tc>
          <w:tcPr>
            <w:tcW w:w="6627" w:type="dxa"/>
            <w:gridSpan w:val="2"/>
            <w:shd w:val="clear" w:color="auto" w:fill="auto"/>
            <w:vAlign w:val="center"/>
          </w:tcPr>
          <w:p w14:paraId="7CCFDBB0" w14:textId="3FE1B478" w:rsidR="008F7FAD" w:rsidRPr="0021533C" w:rsidRDefault="00075FFE" w:rsidP="00224569">
            <w:pPr>
              <w:spacing w:before="60" w:after="60"/>
              <w:jc w:val="both"/>
              <w:rPr>
                <w:sz w:val="28"/>
                <w:szCs w:val="28"/>
              </w:rPr>
            </w:pPr>
            <w:r>
              <w:rPr>
                <w:sz w:val="28"/>
                <w:szCs w:val="28"/>
              </w:rPr>
              <w:t>Daniele Fuschi – 2</w:t>
            </w:r>
            <w:r w:rsidR="00224569">
              <w:rPr>
                <w:sz w:val="28"/>
                <w:szCs w:val="28"/>
              </w:rPr>
              <w:t>4</w:t>
            </w:r>
            <w:r>
              <w:rPr>
                <w:sz w:val="28"/>
                <w:szCs w:val="28"/>
              </w:rPr>
              <w:t xml:space="preserve"> mesi</w:t>
            </w:r>
          </w:p>
        </w:tc>
      </w:tr>
      <w:tr w:rsidR="0077118B" w:rsidRPr="00536A74" w14:paraId="65C4A861" w14:textId="77777777" w:rsidTr="001F4BC9">
        <w:trPr>
          <w:trHeight w:val="594"/>
        </w:trPr>
        <w:tc>
          <w:tcPr>
            <w:tcW w:w="3227" w:type="dxa"/>
            <w:gridSpan w:val="2"/>
            <w:vMerge w:val="restart"/>
            <w:shd w:val="clear" w:color="auto" w:fill="auto"/>
            <w:vAlign w:val="center"/>
          </w:tcPr>
          <w:p w14:paraId="3BE1DDF1" w14:textId="24092EEF" w:rsidR="0077118B" w:rsidRPr="0083559D" w:rsidRDefault="0077118B" w:rsidP="00945AFC">
            <w:pPr>
              <w:spacing w:before="60" w:after="60"/>
              <w:jc w:val="both"/>
              <w:rPr>
                <w:b/>
                <w:sz w:val="28"/>
                <w:szCs w:val="28"/>
              </w:rPr>
            </w:pPr>
            <w:r w:rsidRPr="0083559D">
              <w:rPr>
                <w:b/>
                <w:sz w:val="28"/>
                <w:szCs w:val="28"/>
              </w:rPr>
              <w:t>Max. 4</w:t>
            </w:r>
            <w:r>
              <w:rPr>
                <w:sz w:val="28"/>
                <w:szCs w:val="28"/>
              </w:rPr>
              <w:t xml:space="preserve"> lavori in extenso su riviste indicizzate PubMed</w:t>
            </w:r>
          </w:p>
        </w:tc>
        <w:tc>
          <w:tcPr>
            <w:tcW w:w="6627" w:type="dxa"/>
            <w:gridSpan w:val="2"/>
            <w:shd w:val="clear" w:color="auto" w:fill="auto"/>
            <w:vAlign w:val="center"/>
          </w:tcPr>
          <w:p w14:paraId="630C311A" w14:textId="60A3F581" w:rsidR="0077118B" w:rsidRPr="0077118B" w:rsidRDefault="0077118B" w:rsidP="0077118B">
            <w:pPr>
              <w:pStyle w:val="PreformattatoHTML"/>
              <w:spacing w:after="120"/>
              <w:jc w:val="both"/>
              <w:rPr>
                <w:rFonts w:ascii="Times New Roman" w:hAnsi="Times New Roman" w:cs="Times New Roman"/>
                <w:sz w:val="22"/>
                <w:szCs w:val="24"/>
                <w:lang w:val="en-US"/>
              </w:rPr>
            </w:pPr>
            <w:r w:rsidRPr="0077118B">
              <w:rPr>
                <w:rFonts w:ascii="Times New Roman" w:hAnsi="Times New Roman" w:cs="Times New Roman"/>
                <w:sz w:val="22"/>
                <w:szCs w:val="24"/>
                <w:lang w:val="en-US"/>
              </w:rPr>
              <w:t xml:space="preserve">Barbaro MR, Cremon C, </w:t>
            </w:r>
            <w:r w:rsidRPr="0077118B">
              <w:rPr>
                <w:rFonts w:ascii="Times New Roman" w:hAnsi="Times New Roman" w:cs="Times New Roman"/>
                <w:b/>
                <w:sz w:val="22"/>
                <w:szCs w:val="24"/>
                <w:lang w:val="en-US"/>
              </w:rPr>
              <w:t>Fuschi D</w:t>
            </w:r>
            <w:r w:rsidRPr="0077118B">
              <w:rPr>
                <w:rFonts w:ascii="Times New Roman" w:hAnsi="Times New Roman" w:cs="Times New Roman"/>
                <w:sz w:val="22"/>
                <w:szCs w:val="24"/>
                <w:lang w:val="en-US"/>
              </w:rPr>
              <w:t>, Marasco G, Palombo M, Stanghellini V, Barbara G. Pathophysiology of Diverticular Disease: From Diverticula Formation to Symptom Generation. Int J Mol Sci. 2022 Jun 15;23(12):6698. doi: 10.3390/ijms23126698. PMID: 35743141; PMCID: PMC9223421.</w:t>
            </w:r>
          </w:p>
        </w:tc>
      </w:tr>
      <w:tr w:rsidR="0077118B" w:rsidRPr="00F70053" w14:paraId="1C9006DC" w14:textId="77777777" w:rsidTr="001F4BC9">
        <w:trPr>
          <w:trHeight w:val="594"/>
        </w:trPr>
        <w:tc>
          <w:tcPr>
            <w:tcW w:w="3227" w:type="dxa"/>
            <w:gridSpan w:val="2"/>
            <w:vMerge/>
            <w:shd w:val="clear" w:color="auto" w:fill="auto"/>
            <w:vAlign w:val="center"/>
          </w:tcPr>
          <w:p w14:paraId="32385B0F" w14:textId="1AA0C097" w:rsidR="0077118B" w:rsidRPr="00536A74" w:rsidRDefault="0077118B" w:rsidP="00945AFC">
            <w:pPr>
              <w:spacing w:before="60" w:after="60"/>
              <w:jc w:val="both"/>
              <w:rPr>
                <w:b/>
                <w:sz w:val="28"/>
                <w:szCs w:val="28"/>
                <w:lang w:val="en-GB"/>
              </w:rPr>
            </w:pPr>
          </w:p>
        </w:tc>
        <w:tc>
          <w:tcPr>
            <w:tcW w:w="6627" w:type="dxa"/>
            <w:gridSpan w:val="2"/>
            <w:shd w:val="clear" w:color="auto" w:fill="auto"/>
            <w:vAlign w:val="center"/>
          </w:tcPr>
          <w:p w14:paraId="2B7E1C76" w14:textId="77777777" w:rsidR="0077118B" w:rsidRDefault="0077118B" w:rsidP="0077118B">
            <w:pPr>
              <w:pStyle w:val="PreformattatoHTML"/>
              <w:spacing w:after="120"/>
              <w:jc w:val="both"/>
              <w:rPr>
                <w:rFonts w:ascii="Times New Roman" w:hAnsi="Times New Roman" w:cs="Times New Roman"/>
                <w:sz w:val="22"/>
                <w:szCs w:val="24"/>
                <w:lang w:val="en-GB"/>
              </w:rPr>
            </w:pPr>
            <w:r w:rsidRPr="00536A74">
              <w:rPr>
                <w:rFonts w:ascii="Times New Roman" w:hAnsi="Times New Roman" w:cs="Times New Roman"/>
                <w:sz w:val="22"/>
                <w:szCs w:val="24"/>
                <w:lang w:val="en-GB"/>
              </w:rPr>
              <w:t xml:space="preserve">Barbara G, Barbaro MR, </w:t>
            </w:r>
            <w:r w:rsidRPr="00536A74">
              <w:rPr>
                <w:rFonts w:ascii="Times New Roman" w:hAnsi="Times New Roman" w:cs="Times New Roman"/>
                <w:b/>
                <w:sz w:val="22"/>
                <w:szCs w:val="24"/>
                <w:lang w:val="en-GB"/>
              </w:rPr>
              <w:t>Fuschi D</w:t>
            </w:r>
            <w:r w:rsidRPr="00536A74">
              <w:rPr>
                <w:rFonts w:ascii="Times New Roman" w:hAnsi="Times New Roman" w:cs="Times New Roman"/>
                <w:sz w:val="22"/>
                <w:szCs w:val="24"/>
                <w:lang w:val="en-GB"/>
              </w:rPr>
              <w:t xml:space="preserve">, Palombo M, Falangone F, Cremon C, Marasco G, Stanghellini V. Inflammatory and Microbiota-Related Regulation of the Intestinal Epithelial Barrier. </w:t>
            </w:r>
            <w:r w:rsidRPr="007879E5">
              <w:rPr>
                <w:rFonts w:ascii="Times New Roman" w:hAnsi="Times New Roman" w:cs="Times New Roman"/>
                <w:sz w:val="22"/>
                <w:szCs w:val="24"/>
                <w:lang w:val="en-GB"/>
              </w:rPr>
              <w:t>Front Nutr. 2021 Sep 13;8:718356. doi: 10.3389/fnut.2021.718356. PMID: 345895</w:t>
            </w:r>
            <w:r>
              <w:rPr>
                <w:rFonts w:ascii="Times New Roman" w:hAnsi="Times New Roman" w:cs="Times New Roman"/>
                <w:sz w:val="22"/>
                <w:szCs w:val="24"/>
                <w:lang w:val="en-GB"/>
              </w:rPr>
              <w:t>12; PMCID: PMC8475765.</w:t>
            </w:r>
          </w:p>
          <w:p w14:paraId="370A2DE9" w14:textId="77777777" w:rsidR="0077118B" w:rsidRPr="008750C8" w:rsidRDefault="0077118B" w:rsidP="00945AFC">
            <w:pPr>
              <w:spacing w:before="60" w:after="60"/>
              <w:jc w:val="both"/>
              <w:rPr>
                <w:sz w:val="22"/>
                <w:szCs w:val="28"/>
              </w:rPr>
            </w:pPr>
          </w:p>
        </w:tc>
      </w:tr>
      <w:tr w:rsidR="0077118B" w:rsidRPr="00F70053" w14:paraId="6F909ECE" w14:textId="77777777" w:rsidTr="001F4BC9">
        <w:trPr>
          <w:trHeight w:val="594"/>
        </w:trPr>
        <w:tc>
          <w:tcPr>
            <w:tcW w:w="3227" w:type="dxa"/>
            <w:gridSpan w:val="2"/>
            <w:vMerge/>
            <w:shd w:val="clear" w:color="auto" w:fill="auto"/>
            <w:vAlign w:val="center"/>
          </w:tcPr>
          <w:p w14:paraId="29EC64F7" w14:textId="0412D878" w:rsidR="0077118B" w:rsidRPr="0021533C" w:rsidRDefault="0077118B" w:rsidP="00945AFC">
            <w:pPr>
              <w:spacing w:before="60" w:after="60"/>
              <w:jc w:val="both"/>
              <w:rPr>
                <w:sz w:val="28"/>
                <w:szCs w:val="28"/>
              </w:rPr>
            </w:pPr>
          </w:p>
        </w:tc>
        <w:tc>
          <w:tcPr>
            <w:tcW w:w="6627" w:type="dxa"/>
            <w:gridSpan w:val="2"/>
            <w:shd w:val="clear" w:color="auto" w:fill="auto"/>
            <w:vAlign w:val="center"/>
          </w:tcPr>
          <w:p w14:paraId="6CEA3217" w14:textId="0656F65D" w:rsidR="0077118B" w:rsidRPr="0021533C" w:rsidRDefault="0077118B" w:rsidP="00945AFC">
            <w:pPr>
              <w:spacing w:before="60" w:after="60"/>
              <w:jc w:val="both"/>
              <w:rPr>
                <w:sz w:val="28"/>
                <w:szCs w:val="28"/>
              </w:rPr>
            </w:pPr>
            <w:r w:rsidRPr="008750C8">
              <w:rPr>
                <w:sz w:val="22"/>
                <w:szCs w:val="28"/>
              </w:rPr>
              <w:t xml:space="preserve">Barbaro MR, Cremon C, Wrona D, </w:t>
            </w:r>
            <w:r w:rsidRPr="008750C8">
              <w:rPr>
                <w:b/>
                <w:sz w:val="22"/>
                <w:szCs w:val="28"/>
              </w:rPr>
              <w:t>Fuschi D</w:t>
            </w:r>
            <w:r w:rsidRPr="008750C8">
              <w:rPr>
                <w:sz w:val="22"/>
                <w:szCs w:val="28"/>
              </w:rPr>
              <w:t>, Marasco G, Stanghellini V, Barbara G. Non-Celiac Gluten Sensitivity in the Context of Functional Gastrointestinal Disorders. Nutrients. 2020 Dec 4;12(12):3735. doi: 10.3390/nu12123735. PMID: 33291590; PMCID: PMC7761787.</w:t>
            </w:r>
          </w:p>
        </w:tc>
      </w:tr>
      <w:tr w:rsidR="0077118B" w:rsidRPr="00F70053" w14:paraId="0D67B23E" w14:textId="77777777" w:rsidTr="00945AFC">
        <w:trPr>
          <w:trHeight w:val="592"/>
        </w:trPr>
        <w:tc>
          <w:tcPr>
            <w:tcW w:w="3227" w:type="dxa"/>
            <w:gridSpan w:val="2"/>
            <w:vMerge/>
            <w:shd w:val="clear" w:color="auto" w:fill="auto"/>
            <w:vAlign w:val="center"/>
          </w:tcPr>
          <w:p w14:paraId="1A2927D2" w14:textId="77777777" w:rsidR="0077118B" w:rsidDel="00052630" w:rsidRDefault="0077118B" w:rsidP="00945AFC">
            <w:pPr>
              <w:spacing w:before="60" w:after="60"/>
              <w:jc w:val="both"/>
              <w:rPr>
                <w:sz w:val="28"/>
                <w:szCs w:val="28"/>
              </w:rPr>
            </w:pPr>
          </w:p>
        </w:tc>
        <w:tc>
          <w:tcPr>
            <w:tcW w:w="6627" w:type="dxa"/>
            <w:gridSpan w:val="2"/>
            <w:shd w:val="clear" w:color="auto" w:fill="auto"/>
            <w:vAlign w:val="center"/>
          </w:tcPr>
          <w:p w14:paraId="37E954D1" w14:textId="76F5553B" w:rsidR="0077118B" w:rsidRPr="0021533C" w:rsidRDefault="0077118B" w:rsidP="00945AFC">
            <w:pPr>
              <w:spacing w:before="60" w:after="60"/>
              <w:jc w:val="both"/>
              <w:rPr>
                <w:sz w:val="28"/>
                <w:szCs w:val="28"/>
              </w:rPr>
            </w:pPr>
            <w:r w:rsidRPr="007C4A83">
              <w:rPr>
                <w:sz w:val="22"/>
              </w:rPr>
              <w:t>Barbaro MR,</w:t>
            </w:r>
            <w:r w:rsidRPr="00010823">
              <w:rPr>
                <w:sz w:val="22"/>
              </w:rPr>
              <w:t xml:space="preserve"> Cremon C,</w:t>
            </w:r>
            <w:r>
              <w:rPr>
                <w:sz w:val="22"/>
              </w:rPr>
              <w:t xml:space="preserve"> Morselli-Labate AM, Di Sabatino A, Giuffrida P, Corazza GR, Di Stefano M, Caio G, Latella G, Ciacci C,</w:t>
            </w:r>
            <w:r w:rsidRPr="00010823">
              <w:rPr>
                <w:sz w:val="22"/>
              </w:rPr>
              <w:t xml:space="preserve"> </w:t>
            </w:r>
            <w:r w:rsidRPr="007C4A83">
              <w:rPr>
                <w:b/>
                <w:sz w:val="22"/>
              </w:rPr>
              <w:t>Fuschi D</w:t>
            </w:r>
            <w:r w:rsidRPr="00010823">
              <w:rPr>
                <w:sz w:val="22"/>
              </w:rPr>
              <w:t>,</w:t>
            </w:r>
            <w:r>
              <w:rPr>
                <w:sz w:val="22"/>
              </w:rPr>
              <w:t xml:space="preserve"> Mastroroberto M, Bellacosa L,</w:t>
            </w:r>
            <w:r w:rsidRPr="00010823">
              <w:rPr>
                <w:sz w:val="22"/>
              </w:rPr>
              <w:t xml:space="preserve"> Stanghellini V, </w:t>
            </w:r>
            <w:r>
              <w:rPr>
                <w:sz w:val="22"/>
              </w:rPr>
              <w:t xml:space="preserve">Volta U, </w:t>
            </w:r>
            <w:r w:rsidRPr="00010823">
              <w:rPr>
                <w:sz w:val="22"/>
              </w:rPr>
              <w:t>Barbara G.</w:t>
            </w:r>
            <w:r>
              <w:t xml:space="preserve"> </w:t>
            </w:r>
            <w:r w:rsidRPr="007C4A83">
              <w:rPr>
                <w:sz w:val="22"/>
              </w:rPr>
              <w:t>Serum Zonulin and Its Diagnostic Performance in Non-Coeliac Gluten Sensitivity</w:t>
            </w:r>
            <w:r>
              <w:rPr>
                <w:sz w:val="22"/>
              </w:rPr>
              <w:t>.</w:t>
            </w:r>
            <w:r>
              <w:t xml:space="preserve"> </w:t>
            </w:r>
            <w:r w:rsidRPr="007C4A83">
              <w:rPr>
                <w:sz w:val="22"/>
              </w:rPr>
              <w:t>Gut. 2020 Feb 14;gutjnl-2019-319281.</w:t>
            </w:r>
          </w:p>
        </w:tc>
      </w:tr>
      <w:tr w:rsidR="0077118B" w:rsidRPr="00F70053" w14:paraId="15E7211F" w14:textId="77777777" w:rsidTr="00945AFC">
        <w:trPr>
          <w:trHeight w:val="592"/>
        </w:trPr>
        <w:tc>
          <w:tcPr>
            <w:tcW w:w="3227" w:type="dxa"/>
            <w:gridSpan w:val="2"/>
            <w:vMerge/>
            <w:shd w:val="clear" w:color="auto" w:fill="auto"/>
            <w:vAlign w:val="center"/>
          </w:tcPr>
          <w:p w14:paraId="5E2D9F9B" w14:textId="77777777" w:rsidR="0077118B" w:rsidDel="00052630" w:rsidRDefault="0077118B" w:rsidP="00945AFC">
            <w:pPr>
              <w:spacing w:before="60" w:after="60"/>
              <w:jc w:val="both"/>
              <w:rPr>
                <w:sz w:val="28"/>
                <w:szCs w:val="28"/>
              </w:rPr>
            </w:pPr>
          </w:p>
        </w:tc>
        <w:tc>
          <w:tcPr>
            <w:tcW w:w="6627" w:type="dxa"/>
            <w:gridSpan w:val="2"/>
            <w:shd w:val="clear" w:color="auto" w:fill="auto"/>
            <w:vAlign w:val="center"/>
          </w:tcPr>
          <w:p w14:paraId="1750E829" w14:textId="408F998E" w:rsidR="0077118B" w:rsidRPr="0021533C" w:rsidRDefault="0077118B" w:rsidP="00945AFC">
            <w:pPr>
              <w:spacing w:before="60" w:after="60"/>
              <w:jc w:val="both"/>
              <w:rPr>
                <w:sz w:val="28"/>
                <w:szCs w:val="28"/>
              </w:rPr>
            </w:pPr>
            <w:r w:rsidRPr="007C4A83">
              <w:rPr>
                <w:sz w:val="22"/>
              </w:rPr>
              <w:t>Barbaro MR, Cremon</w:t>
            </w:r>
            <w:r w:rsidRPr="00010823">
              <w:rPr>
                <w:sz w:val="22"/>
              </w:rPr>
              <w:t xml:space="preserve"> C, </w:t>
            </w:r>
            <w:r w:rsidRPr="007C4A83">
              <w:rPr>
                <w:b/>
                <w:sz w:val="22"/>
              </w:rPr>
              <w:t>Fuschi D</w:t>
            </w:r>
            <w:r w:rsidRPr="00010823">
              <w:rPr>
                <w:sz w:val="22"/>
              </w:rPr>
              <w:t>, Scaioli E, Veneziano A, Marasco G, Festi D,</w:t>
            </w:r>
            <w:r>
              <w:rPr>
                <w:sz w:val="22"/>
              </w:rPr>
              <w:t xml:space="preserve"> </w:t>
            </w:r>
            <w:r w:rsidRPr="00010823">
              <w:rPr>
                <w:sz w:val="22"/>
              </w:rPr>
              <w:t>Stanghellini V, Barbara G. Nerve fiber overgrowth in patients with symptomatic diverticular disease. Neurogastroenterol Motil. 2019 Mar 5:e13575.</w:t>
            </w:r>
          </w:p>
        </w:tc>
      </w:tr>
      <w:tr w:rsidR="0077118B" w:rsidRPr="00F70053" w14:paraId="1843377C" w14:textId="77777777" w:rsidTr="00945AFC">
        <w:trPr>
          <w:trHeight w:val="592"/>
        </w:trPr>
        <w:tc>
          <w:tcPr>
            <w:tcW w:w="3227" w:type="dxa"/>
            <w:gridSpan w:val="2"/>
            <w:vMerge/>
            <w:shd w:val="clear" w:color="auto" w:fill="auto"/>
            <w:vAlign w:val="center"/>
          </w:tcPr>
          <w:p w14:paraId="5EEE6CE4" w14:textId="77777777" w:rsidR="0077118B" w:rsidDel="00052630" w:rsidRDefault="0077118B" w:rsidP="00945AFC">
            <w:pPr>
              <w:spacing w:before="60" w:after="60"/>
              <w:jc w:val="both"/>
              <w:rPr>
                <w:sz w:val="28"/>
                <w:szCs w:val="28"/>
              </w:rPr>
            </w:pPr>
          </w:p>
        </w:tc>
        <w:tc>
          <w:tcPr>
            <w:tcW w:w="6627" w:type="dxa"/>
            <w:gridSpan w:val="2"/>
            <w:shd w:val="clear" w:color="auto" w:fill="auto"/>
            <w:vAlign w:val="center"/>
          </w:tcPr>
          <w:p w14:paraId="7BD43D5E" w14:textId="77777777" w:rsidR="0077118B" w:rsidRPr="0021533C" w:rsidRDefault="0077118B" w:rsidP="00945AFC">
            <w:pPr>
              <w:spacing w:before="60" w:after="60"/>
              <w:jc w:val="both"/>
              <w:rPr>
                <w:sz w:val="28"/>
                <w:szCs w:val="28"/>
              </w:rPr>
            </w:pPr>
          </w:p>
        </w:tc>
      </w:tr>
      <w:tr w:rsidR="008F7FAD" w:rsidRPr="0021533C" w14:paraId="4A69B6D9" w14:textId="77777777" w:rsidTr="00945AFC">
        <w:trPr>
          <w:trHeight w:val="420"/>
        </w:trPr>
        <w:tc>
          <w:tcPr>
            <w:tcW w:w="3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45F18" w14:textId="77777777" w:rsidR="008F7FAD" w:rsidRPr="0021533C" w:rsidRDefault="008F7FAD" w:rsidP="00945AFC">
            <w:pPr>
              <w:spacing w:before="60" w:after="60"/>
              <w:jc w:val="both"/>
              <w:rPr>
                <w:sz w:val="28"/>
                <w:szCs w:val="28"/>
              </w:rPr>
            </w:pPr>
            <w:r>
              <w:rPr>
                <w:sz w:val="28"/>
                <w:szCs w:val="28"/>
              </w:rPr>
              <w:t>Nome e n° mesi assegnista 2</w:t>
            </w:r>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10DC2" w14:textId="51AE66CE" w:rsidR="008F7FAD" w:rsidRPr="0021533C" w:rsidRDefault="00224569" w:rsidP="00945AFC">
            <w:pPr>
              <w:spacing w:before="60" w:after="60"/>
              <w:jc w:val="both"/>
              <w:rPr>
                <w:sz w:val="28"/>
                <w:szCs w:val="28"/>
              </w:rPr>
            </w:pPr>
            <w:r>
              <w:rPr>
                <w:sz w:val="28"/>
                <w:szCs w:val="28"/>
              </w:rPr>
              <w:t>Marta Palombo, 12 mesi</w:t>
            </w:r>
          </w:p>
        </w:tc>
      </w:tr>
      <w:tr w:rsidR="0077118B" w:rsidRPr="00536A74" w14:paraId="64E90DA1" w14:textId="77777777" w:rsidTr="0087028C">
        <w:trPr>
          <w:trHeight w:val="594"/>
        </w:trPr>
        <w:tc>
          <w:tcPr>
            <w:tcW w:w="3227" w:type="dxa"/>
            <w:gridSpan w:val="2"/>
            <w:vMerge w:val="restart"/>
            <w:tcBorders>
              <w:top w:val="single" w:sz="4" w:space="0" w:color="auto"/>
              <w:left w:val="single" w:sz="4" w:space="0" w:color="auto"/>
              <w:right w:val="single" w:sz="4" w:space="0" w:color="auto"/>
            </w:tcBorders>
            <w:shd w:val="clear" w:color="auto" w:fill="auto"/>
            <w:vAlign w:val="center"/>
          </w:tcPr>
          <w:p w14:paraId="549887D6" w14:textId="77777777" w:rsidR="0077118B" w:rsidRPr="00FE6CF6" w:rsidRDefault="0077118B" w:rsidP="00945AFC">
            <w:pPr>
              <w:spacing w:before="60" w:after="60"/>
              <w:jc w:val="both"/>
              <w:rPr>
                <w:sz w:val="28"/>
                <w:szCs w:val="28"/>
              </w:rPr>
            </w:pPr>
            <w:r w:rsidRPr="00472D5F">
              <w:rPr>
                <w:b/>
                <w:sz w:val="28"/>
                <w:szCs w:val="28"/>
              </w:rPr>
              <w:t>Max. 4</w:t>
            </w:r>
            <w:r>
              <w:rPr>
                <w:sz w:val="28"/>
                <w:szCs w:val="28"/>
              </w:rPr>
              <w:t xml:space="preserve"> lavori in extenso su riviste indicizzate PubMed</w:t>
            </w:r>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FF0E2" w14:textId="60B4C7B4" w:rsidR="0077118B" w:rsidRPr="0077118B" w:rsidRDefault="0077118B" w:rsidP="0077118B">
            <w:pPr>
              <w:pStyle w:val="PreformattatoHTML"/>
              <w:spacing w:after="120"/>
              <w:jc w:val="both"/>
              <w:rPr>
                <w:sz w:val="28"/>
                <w:szCs w:val="28"/>
                <w:lang w:val="en-US"/>
              </w:rPr>
            </w:pPr>
            <w:r w:rsidRPr="0077118B">
              <w:rPr>
                <w:rFonts w:ascii="Times New Roman" w:hAnsi="Times New Roman" w:cs="Times New Roman"/>
                <w:sz w:val="22"/>
                <w:szCs w:val="24"/>
                <w:lang w:val="en-US"/>
              </w:rPr>
              <w:t xml:space="preserve">Barbaro MR, Cremon C, Fuschi D, Marasco G, </w:t>
            </w:r>
            <w:r w:rsidRPr="0077118B">
              <w:rPr>
                <w:rFonts w:ascii="Times New Roman" w:hAnsi="Times New Roman" w:cs="Times New Roman"/>
                <w:b/>
                <w:sz w:val="22"/>
                <w:szCs w:val="24"/>
                <w:lang w:val="en-US"/>
              </w:rPr>
              <w:t>Palombo M</w:t>
            </w:r>
            <w:r w:rsidRPr="0077118B">
              <w:rPr>
                <w:rFonts w:ascii="Times New Roman" w:hAnsi="Times New Roman" w:cs="Times New Roman"/>
                <w:sz w:val="22"/>
                <w:szCs w:val="24"/>
                <w:lang w:val="en-US"/>
              </w:rPr>
              <w:t>, Stanghellini V, Barbara G. Pathophysiology of Diverticular Disease: From Diverticula Formation to Symptom Generation. Int J Mol Sci. 2022 Jun 15;23(12):6698. doi: 10.3390/ijms23126698. PMID: 35743141; PMCID: PMC9223421.</w:t>
            </w:r>
          </w:p>
        </w:tc>
      </w:tr>
      <w:tr w:rsidR="0077118B" w:rsidRPr="00FE6CF6" w14:paraId="130F7515" w14:textId="77777777" w:rsidTr="0087028C">
        <w:trPr>
          <w:trHeight w:val="592"/>
        </w:trPr>
        <w:tc>
          <w:tcPr>
            <w:tcW w:w="3227" w:type="dxa"/>
            <w:gridSpan w:val="2"/>
            <w:vMerge/>
            <w:tcBorders>
              <w:left w:val="single" w:sz="4" w:space="0" w:color="auto"/>
              <w:right w:val="single" w:sz="4" w:space="0" w:color="auto"/>
            </w:tcBorders>
            <w:shd w:val="clear" w:color="auto" w:fill="auto"/>
            <w:vAlign w:val="center"/>
          </w:tcPr>
          <w:p w14:paraId="5BBCB952" w14:textId="77777777" w:rsidR="0077118B" w:rsidRPr="0077118B" w:rsidRDefault="0077118B" w:rsidP="00945AFC">
            <w:pPr>
              <w:spacing w:before="60" w:after="60"/>
              <w:jc w:val="both"/>
              <w:rPr>
                <w:b/>
                <w:sz w:val="28"/>
                <w:szCs w:val="28"/>
                <w:lang w:val="en-US"/>
              </w:rPr>
            </w:pPr>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5BDE1" w14:textId="77777777" w:rsidR="0077118B" w:rsidRDefault="0077118B" w:rsidP="0077118B">
            <w:pPr>
              <w:pStyle w:val="PreformattatoHTML"/>
              <w:spacing w:after="120"/>
              <w:jc w:val="both"/>
              <w:rPr>
                <w:rFonts w:ascii="Times New Roman" w:hAnsi="Times New Roman" w:cs="Times New Roman"/>
                <w:sz w:val="22"/>
                <w:szCs w:val="24"/>
                <w:lang w:val="en-GB"/>
              </w:rPr>
            </w:pPr>
            <w:r w:rsidRPr="00536A74">
              <w:rPr>
                <w:rFonts w:ascii="Times New Roman" w:hAnsi="Times New Roman" w:cs="Times New Roman"/>
                <w:sz w:val="22"/>
                <w:szCs w:val="24"/>
                <w:lang w:val="en-US"/>
              </w:rPr>
              <w:t xml:space="preserve">Barbara G, Barbaro MR, Fuschi D, </w:t>
            </w:r>
            <w:r w:rsidRPr="00536A74">
              <w:rPr>
                <w:rFonts w:ascii="Times New Roman" w:hAnsi="Times New Roman" w:cs="Times New Roman"/>
                <w:b/>
                <w:sz w:val="22"/>
                <w:szCs w:val="24"/>
                <w:lang w:val="en-US"/>
              </w:rPr>
              <w:t>Palombo M</w:t>
            </w:r>
            <w:r w:rsidRPr="00536A74">
              <w:rPr>
                <w:rFonts w:ascii="Times New Roman" w:hAnsi="Times New Roman" w:cs="Times New Roman"/>
                <w:sz w:val="22"/>
                <w:szCs w:val="24"/>
                <w:lang w:val="en-US"/>
              </w:rPr>
              <w:t xml:space="preserve">, Falangone F, Cremon C, Marasco G, Stanghellini V. Inflammatory and Microbiota-Related Regulation of the Intestinal Epithelial Barrier. </w:t>
            </w:r>
            <w:r w:rsidRPr="007879E5">
              <w:rPr>
                <w:rFonts w:ascii="Times New Roman" w:hAnsi="Times New Roman" w:cs="Times New Roman"/>
                <w:sz w:val="22"/>
                <w:szCs w:val="24"/>
                <w:lang w:val="en-GB"/>
              </w:rPr>
              <w:t>Front Nutr. 2021 Sep 13;8:718356. doi: 10.3389/fnut.2021.718356. PMID: 345895</w:t>
            </w:r>
            <w:r>
              <w:rPr>
                <w:rFonts w:ascii="Times New Roman" w:hAnsi="Times New Roman" w:cs="Times New Roman"/>
                <w:sz w:val="22"/>
                <w:szCs w:val="24"/>
                <w:lang w:val="en-GB"/>
              </w:rPr>
              <w:t>12; PMCID: PMC8475765.</w:t>
            </w:r>
          </w:p>
          <w:p w14:paraId="721E64D7" w14:textId="03158A5A" w:rsidR="0077118B" w:rsidRPr="0021533C" w:rsidRDefault="0077118B" w:rsidP="00945AFC">
            <w:pPr>
              <w:spacing w:before="60" w:after="60"/>
              <w:jc w:val="both"/>
              <w:rPr>
                <w:sz w:val="28"/>
                <w:szCs w:val="28"/>
              </w:rPr>
            </w:pPr>
          </w:p>
        </w:tc>
      </w:tr>
    </w:tbl>
    <w:p w14:paraId="12A25FCE" w14:textId="77777777" w:rsidR="008F7FAD" w:rsidRDefault="008F7FAD" w:rsidP="008F7FAD">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27"/>
      </w:tblGrid>
      <w:tr w:rsidR="00A231C4" w:rsidRPr="00FE6CF6" w14:paraId="0D31E12F" w14:textId="77777777" w:rsidTr="00D90C0A">
        <w:trPr>
          <w:trHeight w:val="594"/>
        </w:trPr>
        <w:tc>
          <w:tcPr>
            <w:tcW w:w="3227" w:type="dxa"/>
            <w:vMerge w:val="restart"/>
            <w:tcBorders>
              <w:top w:val="single" w:sz="4" w:space="0" w:color="auto"/>
              <w:left w:val="single" w:sz="4" w:space="0" w:color="auto"/>
              <w:right w:val="single" w:sz="4" w:space="0" w:color="auto"/>
            </w:tcBorders>
            <w:shd w:val="clear" w:color="auto" w:fill="auto"/>
            <w:vAlign w:val="center"/>
          </w:tcPr>
          <w:p w14:paraId="7A421083" w14:textId="77777777" w:rsidR="00A231C4" w:rsidRPr="00460601" w:rsidRDefault="00A231C4" w:rsidP="00D90C0A">
            <w:pPr>
              <w:spacing w:before="60" w:after="60"/>
              <w:jc w:val="both"/>
              <w:rPr>
                <w:b/>
                <w:sz w:val="28"/>
                <w:szCs w:val="28"/>
              </w:rPr>
            </w:pPr>
            <w:r w:rsidRPr="00460601">
              <w:rPr>
                <w:b/>
                <w:sz w:val="28"/>
                <w:szCs w:val="28"/>
              </w:rPr>
              <w:t>Commissione proposta</w:t>
            </w:r>
          </w:p>
          <w:p w14:paraId="53807803" w14:textId="77777777" w:rsidR="00A231C4" w:rsidRPr="00460601" w:rsidRDefault="00A231C4" w:rsidP="00D90C0A">
            <w:pPr>
              <w:spacing w:before="60" w:after="60"/>
              <w:jc w:val="both"/>
              <w:rPr>
                <w:sz w:val="28"/>
                <w:szCs w:val="28"/>
              </w:rPr>
            </w:pPr>
            <w:r w:rsidRPr="00460601">
              <w:rPr>
                <w:sz w:val="28"/>
                <w:szCs w:val="28"/>
              </w:rPr>
              <w:t xml:space="preserve">3 commissari + </w:t>
            </w:r>
          </w:p>
          <w:p w14:paraId="0288DFD6" w14:textId="77777777" w:rsidR="00A231C4" w:rsidRPr="00FE6CF6" w:rsidRDefault="00A231C4" w:rsidP="00D90C0A">
            <w:pPr>
              <w:spacing w:before="60" w:after="60"/>
              <w:jc w:val="both"/>
              <w:rPr>
                <w:sz w:val="28"/>
                <w:szCs w:val="28"/>
              </w:rPr>
            </w:pPr>
            <w:r w:rsidRPr="00460601">
              <w:rPr>
                <w:sz w:val="28"/>
                <w:szCs w:val="28"/>
              </w:rPr>
              <w:t>1 supplente</w:t>
            </w: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57FFD8ED" w14:textId="77777777" w:rsidR="00A231C4" w:rsidRPr="0021533C" w:rsidRDefault="00A231C4" w:rsidP="00D90C0A">
            <w:pPr>
              <w:spacing w:before="60" w:after="60"/>
              <w:jc w:val="both"/>
              <w:rPr>
                <w:sz w:val="28"/>
                <w:szCs w:val="28"/>
              </w:rPr>
            </w:pPr>
          </w:p>
        </w:tc>
      </w:tr>
      <w:tr w:rsidR="00A231C4" w:rsidRPr="00FE6CF6" w14:paraId="4941E423" w14:textId="77777777" w:rsidTr="00D90C0A">
        <w:trPr>
          <w:trHeight w:val="592"/>
        </w:trPr>
        <w:tc>
          <w:tcPr>
            <w:tcW w:w="3227" w:type="dxa"/>
            <w:vMerge/>
            <w:tcBorders>
              <w:left w:val="single" w:sz="4" w:space="0" w:color="auto"/>
              <w:right w:val="single" w:sz="4" w:space="0" w:color="auto"/>
            </w:tcBorders>
            <w:shd w:val="clear" w:color="auto" w:fill="auto"/>
            <w:vAlign w:val="center"/>
          </w:tcPr>
          <w:p w14:paraId="4D986D77" w14:textId="77777777" w:rsidR="00A231C4" w:rsidRPr="00472D5F" w:rsidRDefault="00A231C4" w:rsidP="00D90C0A">
            <w:pPr>
              <w:spacing w:before="60" w:after="60"/>
              <w:jc w:val="both"/>
              <w:rPr>
                <w:b/>
                <w:sz w:val="28"/>
                <w:szCs w:val="28"/>
              </w:rPr>
            </w:pP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6BAC3A35" w14:textId="77777777" w:rsidR="00A231C4" w:rsidRPr="0021533C" w:rsidRDefault="00A231C4" w:rsidP="00D90C0A">
            <w:pPr>
              <w:spacing w:before="60" w:after="60"/>
              <w:jc w:val="both"/>
              <w:rPr>
                <w:sz w:val="28"/>
                <w:szCs w:val="28"/>
              </w:rPr>
            </w:pPr>
          </w:p>
        </w:tc>
      </w:tr>
      <w:tr w:rsidR="00A231C4" w:rsidRPr="00FE6CF6" w14:paraId="38452A05" w14:textId="77777777" w:rsidTr="00D90C0A">
        <w:trPr>
          <w:trHeight w:val="592"/>
        </w:trPr>
        <w:tc>
          <w:tcPr>
            <w:tcW w:w="3227" w:type="dxa"/>
            <w:vMerge/>
            <w:tcBorders>
              <w:left w:val="single" w:sz="4" w:space="0" w:color="auto"/>
              <w:right w:val="single" w:sz="4" w:space="0" w:color="auto"/>
            </w:tcBorders>
            <w:shd w:val="clear" w:color="auto" w:fill="auto"/>
            <w:vAlign w:val="center"/>
          </w:tcPr>
          <w:p w14:paraId="7FD9E74E" w14:textId="77777777" w:rsidR="00A231C4" w:rsidRPr="00472D5F" w:rsidRDefault="00A231C4" w:rsidP="00D90C0A">
            <w:pPr>
              <w:spacing w:before="60" w:after="60"/>
              <w:jc w:val="both"/>
              <w:rPr>
                <w:b/>
                <w:sz w:val="28"/>
                <w:szCs w:val="28"/>
              </w:rPr>
            </w:pP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658B9E4F" w14:textId="77777777" w:rsidR="00A231C4" w:rsidRPr="0021533C" w:rsidRDefault="00A231C4" w:rsidP="00D90C0A">
            <w:pPr>
              <w:spacing w:before="60" w:after="60"/>
              <w:jc w:val="both"/>
              <w:rPr>
                <w:sz w:val="28"/>
                <w:szCs w:val="28"/>
              </w:rPr>
            </w:pPr>
          </w:p>
        </w:tc>
      </w:tr>
      <w:tr w:rsidR="00A231C4" w:rsidRPr="00FE6CF6" w14:paraId="4E61F104" w14:textId="77777777" w:rsidTr="00D90C0A">
        <w:trPr>
          <w:trHeight w:val="592"/>
        </w:trPr>
        <w:tc>
          <w:tcPr>
            <w:tcW w:w="3227" w:type="dxa"/>
            <w:vMerge/>
            <w:tcBorders>
              <w:left w:val="single" w:sz="4" w:space="0" w:color="auto"/>
              <w:right w:val="single" w:sz="4" w:space="0" w:color="auto"/>
            </w:tcBorders>
            <w:shd w:val="clear" w:color="auto" w:fill="auto"/>
            <w:vAlign w:val="center"/>
          </w:tcPr>
          <w:p w14:paraId="5069DC2E" w14:textId="77777777" w:rsidR="00A231C4" w:rsidRPr="00472D5F" w:rsidRDefault="00A231C4" w:rsidP="00D90C0A">
            <w:pPr>
              <w:spacing w:before="60" w:after="60"/>
              <w:jc w:val="both"/>
              <w:rPr>
                <w:b/>
                <w:sz w:val="28"/>
                <w:szCs w:val="28"/>
              </w:rPr>
            </w:pP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0830ACCD" w14:textId="77777777" w:rsidR="00A231C4" w:rsidRPr="0021533C" w:rsidRDefault="00A231C4" w:rsidP="00D90C0A">
            <w:pPr>
              <w:spacing w:before="60" w:after="60"/>
              <w:jc w:val="both"/>
              <w:rPr>
                <w:sz w:val="28"/>
                <w:szCs w:val="28"/>
              </w:rPr>
            </w:pPr>
          </w:p>
        </w:tc>
      </w:tr>
    </w:tbl>
    <w:p w14:paraId="1E67F74E" w14:textId="77777777" w:rsidR="00A231C4" w:rsidRDefault="00A231C4" w:rsidP="008F7FAD">
      <w:pPr>
        <w:jc w:val="both"/>
        <w:rPr>
          <w:b/>
          <w:sz w:val="16"/>
          <w:szCs w:val="16"/>
        </w:rPr>
      </w:pPr>
    </w:p>
    <w:p w14:paraId="15871E71" w14:textId="77777777" w:rsidR="00A231C4" w:rsidRDefault="00A231C4" w:rsidP="008F7FAD">
      <w:pPr>
        <w:jc w:val="both"/>
        <w:rPr>
          <w:b/>
          <w:sz w:val="16"/>
          <w:szCs w:val="16"/>
        </w:rPr>
      </w:pPr>
    </w:p>
    <w:p w14:paraId="7BA783E1" w14:textId="77777777" w:rsidR="00A231C4" w:rsidRPr="00EC0BC6" w:rsidRDefault="00A231C4" w:rsidP="008F7FAD">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1680"/>
        <w:gridCol w:w="783"/>
        <w:gridCol w:w="65"/>
        <w:gridCol w:w="875"/>
        <w:gridCol w:w="1524"/>
      </w:tblGrid>
      <w:tr w:rsidR="008F7FAD" w:rsidRPr="00F70053" w14:paraId="66D5C4A6" w14:textId="77777777" w:rsidTr="00945AFC">
        <w:tc>
          <w:tcPr>
            <w:tcW w:w="9854" w:type="dxa"/>
            <w:gridSpan w:val="6"/>
            <w:shd w:val="clear" w:color="auto" w:fill="auto"/>
            <w:vAlign w:val="center"/>
          </w:tcPr>
          <w:p w14:paraId="647B3CBB" w14:textId="77777777" w:rsidR="008F7FAD" w:rsidRPr="00D34E85" w:rsidRDefault="008F7FAD" w:rsidP="00945AFC">
            <w:pPr>
              <w:spacing w:before="60" w:after="60"/>
              <w:jc w:val="both"/>
              <w:rPr>
                <w:b/>
                <w:sz w:val="28"/>
                <w:szCs w:val="28"/>
              </w:rPr>
            </w:pPr>
            <w:r w:rsidRPr="00D34E85">
              <w:rPr>
                <w:b/>
                <w:sz w:val="28"/>
                <w:szCs w:val="28"/>
              </w:rPr>
              <w:t>TITOLO DEL PROGETTO</w:t>
            </w:r>
          </w:p>
        </w:tc>
      </w:tr>
      <w:tr w:rsidR="008F7FAD" w:rsidRPr="00536A74" w14:paraId="5D74ED09" w14:textId="77777777" w:rsidTr="00945AFC">
        <w:tc>
          <w:tcPr>
            <w:tcW w:w="9854" w:type="dxa"/>
            <w:gridSpan w:val="6"/>
            <w:shd w:val="clear" w:color="auto" w:fill="auto"/>
          </w:tcPr>
          <w:p w14:paraId="31E5F1AB" w14:textId="67B3D674" w:rsidR="008F7FAD" w:rsidRPr="002F7C37" w:rsidRDefault="002F7C37" w:rsidP="00945AFC">
            <w:pPr>
              <w:spacing w:before="60" w:after="60"/>
              <w:jc w:val="both"/>
              <w:rPr>
                <w:b/>
                <w:lang w:val="en-US"/>
              </w:rPr>
            </w:pPr>
            <w:r w:rsidRPr="002F7C37">
              <w:rPr>
                <w:b/>
                <w:lang w:val="en-US"/>
              </w:rPr>
              <w:t>Development, dIagnostic and prevention of gender-related Somatic and mental COmorbitiEs in iRritable bowel syndrome In Europe — DISCOvERIE – WP3 "Intestinal barrier function”</w:t>
            </w:r>
          </w:p>
        </w:tc>
      </w:tr>
      <w:tr w:rsidR="008F7FAD" w:rsidRPr="00F70053" w14:paraId="2DAAE0D4" w14:textId="77777777" w:rsidTr="00945AFC">
        <w:tc>
          <w:tcPr>
            <w:tcW w:w="4927" w:type="dxa"/>
            <w:shd w:val="clear" w:color="auto" w:fill="auto"/>
            <w:vAlign w:val="center"/>
          </w:tcPr>
          <w:p w14:paraId="69B649C9" w14:textId="77777777" w:rsidR="008F7FAD" w:rsidRDefault="008F7FAD" w:rsidP="00945AFC">
            <w:pPr>
              <w:spacing w:before="60" w:after="60"/>
              <w:jc w:val="both"/>
              <w:rPr>
                <w:sz w:val="21"/>
                <w:szCs w:val="21"/>
              </w:rPr>
            </w:pPr>
            <w:r>
              <w:rPr>
                <w:sz w:val="21"/>
                <w:szCs w:val="21"/>
              </w:rPr>
              <w:t>ASSEGNO FINANZIATO DA PROGETTO COMPETITIVO</w:t>
            </w:r>
          </w:p>
          <w:p w14:paraId="113983DB" w14:textId="77777777" w:rsidR="008F7FAD" w:rsidRPr="00F70053" w:rsidRDefault="008F7FAD" w:rsidP="00945AFC">
            <w:pPr>
              <w:spacing w:before="60" w:after="60"/>
              <w:jc w:val="both"/>
              <w:rPr>
                <w:sz w:val="28"/>
                <w:szCs w:val="28"/>
              </w:rPr>
            </w:pPr>
            <w:r>
              <w:rPr>
                <w:i/>
                <w:sz w:val="20"/>
                <w:szCs w:val="20"/>
              </w:rPr>
              <w:t>(barrare la casella corrispondente)</w:t>
            </w:r>
          </w:p>
        </w:tc>
        <w:tc>
          <w:tcPr>
            <w:tcW w:w="1680" w:type="dxa"/>
            <w:shd w:val="clear" w:color="auto" w:fill="auto"/>
            <w:vAlign w:val="center"/>
          </w:tcPr>
          <w:p w14:paraId="6684283F" w14:textId="511D55F2" w:rsidR="008F7FAD" w:rsidRPr="00F70053" w:rsidRDefault="002F7C37" w:rsidP="00945AFC">
            <w:pPr>
              <w:spacing w:before="60" w:after="60"/>
              <w:jc w:val="center"/>
              <w:rPr>
                <w:sz w:val="28"/>
                <w:szCs w:val="28"/>
              </w:rPr>
            </w:pPr>
            <w:r>
              <w:rPr>
                <w:sz w:val="44"/>
                <w:szCs w:val="28"/>
              </w:rPr>
              <w:t>X</w:t>
            </w:r>
            <w:r w:rsidR="008F7FAD">
              <w:rPr>
                <w:sz w:val="28"/>
                <w:szCs w:val="28"/>
              </w:rPr>
              <w:t>SI</w:t>
            </w:r>
          </w:p>
        </w:tc>
        <w:tc>
          <w:tcPr>
            <w:tcW w:w="1723" w:type="dxa"/>
            <w:gridSpan w:val="3"/>
            <w:shd w:val="clear" w:color="auto" w:fill="auto"/>
            <w:vAlign w:val="center"/>
          </w:tcPr>
          <w:p w14:paraId="7708E1DC" w14:textId="77777777" w:rsidR="008F7FAD" w:rsidRPr="00F70053" w:rsidRDefault="008F7FAD" w:rsidP="00945AFC">
            <w:pPr>
              <w:spacing w:before="60" w:after="60"/>
              <w:jc w:val="center"/>
              <w:rPr>
                <w:sz w:val="28"/>
                <w:szCs w:val="28"/>
              </w:rPr>
            </w:pPr>
            <w:r w:rsidRPr="005918FB">
              <w:rPr>
                <w:sz w:val="44"/>
                <w:szCs w:val="28"/>
              </w:rPr>
              <w:t>□</w:t>
            </w:r>
            <w:r>
              <w:rPr>
                <w:sz w:val="44"/>
                <w:szCs w:val="28"/>
              </w:rPr>
              <w:t xml:space="preserve"> </w:t>
            </w:r>
            <w:r>
              <w:rPr>
                <w:sz w:val="28"/>
                <w:szCs w:val="28"/>
              </w:rPr>
              <w:t>NO</w:t>
            </w:r>
          </w:p>
        </w:tc>
        <w:tc>
          <w:tcPr>
            <w:tcW w:w="1524" w:type="dxa"/>
            <w:shd w:val="pct10" w:color="FFFF00" w:fill="auto"/>
            <w:vAlign w:val="center"/>
          </w:tcPr>
          <w:p w14:paraId="2ACDA11F" w14:textId="77777777" w:rsidR="008F7FAD" w:rsidRPr="002E1FF5" w:rsidRDefault="008F7FAD" w:rsidP="00945AFC">
            <w:pPr>
              <w:spacing w:before="60" w:after="60"/>
              <w:jc w:val="both"/>
              <w:rPr>
                <w:b/>
                <w:sz w:val="28"/>
                <w:szCs w:val="28"/>
              </w:rPr>
            </w:pPr>
            <w:r w:rsidRPr="00D52083">
              <w:rPr>
                <w:i/>
              </w:rPr>
              <w:t>Punti</w:t>
            </w:r>
          </w:p>
        </w:tc>
      </w:tr>
      <w:tr w:rsidR="008F7FAD" w:rsidRPr="00536A74" w14:paraId="20646E4E" w14:textId="77777777" w:rsidTr="00945AFC">
        <w:tc>
          <w:tcPr>
            <w:tcW w:w="4927" w:type="dxa"/>
            <w:shd w:val="clear" w:color="auto" w:fill="auto"/>
            <w:vAlign w:val="center"/>
          </w:tcPr>
          <w:p w14:paraId="0F7FF232" w14:textId="77777777" w:rsidR="008F7FAD" w:rsidRPr="00F70053" w:rsidRDefault="008F7FAD" w:rsidP="00945AFC">
            <w:pPr>
              <w:spacing w:before="60" w:after="60"/>
              <w:rPr>
                <w:sz w:val="28"/>
                <w:szCs w:val="28"/>
              </w:rPr>
            </w:pPr>
            <w:r>
              <w:rPr>
                <w:sz w:val="21"/>
                <w:szCs w:val="21"/>
              </w:rPr>
              <w:t xml:space="preserve">SE IL FINANZIAMENTO È COMPETITIVO L’ENTE FINANZIATORE </w:t>
            </w:r>
          </w:p>
        </w:tc>
        <w:tc>
          <w:tcPr>
            <w:tcW w:w="4927" w:type="dxa"/>
            <w:gridSpan w:val="5"/>
            <w:shd w:val="clear" w:color="auto" w:fill="auto"/>
            <w:vAlign w:val="center"/>
          </w:tcPr>
          <w:p w14:paraId="3A7B1F16" w14:textId="628FCB98" w:rsidR="008F7FAD" w:rsidRPr="002F7C37" w:rsidRDefault="00BF0ED6" w:rsidP="00945AFC">
            <w:pPr>
              <w:spacing w:before="60" w:after="60"/>
              <w:jc w:val="both"/>
              <w:rPr>
                <w:sz w:val="28"/>
                <w:szCs w:val="28"/>
                <w:lang w:val="en-US"/>
              </w:rPr>
            </w:pPr>
            <w:r w:rsidRPr="002F7C37">
              <w:rPr>
                <w:sz w:val="28"/>
                <w:szCs w:val="28"/>
                <w:lang w:val="en-US"/>
              </w:rPr>
              <w:t xml:space="preserve">Horizon 2020; Call: H2020-SC1-BHC-2018-2020; Topic: SC1-BHC-01-2019; </w:t>
            </w:r>
            <w:r w:rsidR="002B530A" w:rsidRPr="002F7C37">
              <w:rPr>
                <w:sz w:val="28"/>
                <w:szCs w:val="28"/>
                <w:lang w:val="en-US"/>
              </w:rPr>
              <w:t>Grant Agreement n° 848228</w:t>
            </w:r>
          </w:p>
        </w:tc>
      </w:tr>
      <w:tr w:rsidR="008F7FAD" w:rsidRPr="00F70053" w14:paraId="123C825F" w14:textId="77777777" w:rsidTr="00945AFC">
        <w:tc>
          <w:tcPr>
            <w:tcW w:w="4927" w:type="dxa"/>
            <w:shd w:val="clear" w:color="auto" w:fill="auto"/>
            <w:vAlign w:val="center"/>
          </w:tcPr>
          <w:p w14:paraId="47E85B9C" w14:textId="77777777" w:rsidR="008F7FAD" w:rsidRDefault="008F7FAD" w:rsidP="00945AFC">
            <w:pPr>
              <w:spacing w:before="60" w:after="60"/>
              <w:rPr>
                <w:sz w:val="21"/>
                <w:szCs w:val="21"/>
              </w:rPr>
            </w:pPr>
            <w:r>
              <w:rPr>
                <w:sz w:val="21"/>
                <w:szCs w:val="21"/>
              </w:rPr>
              <w:t>PROGETTO/ATTIVITÀ A SCOPO COMMERCIALE</w:t>
            </w:r>
          </w:p>
          <w:p w14:paraId="380F4F22" w14:textId="77777777" w:rsidR="008F7FAD" w:rsidRPr="005918FB" w:rsidRDefault="008F7FAD" w:rsidP="00945AFC">
            <w:pPr>
              <w:spacing w:before="60" w:after="60"/>
              <w:rPr>
                <w:i/>
                <w:sz w:val="21"/>
                <w:szCs w:val="21"/>
              </w:rPr>
            </w:pPr>
            <w:r w:rsidRPr="005918FB">
              <w:rPr>
                <w:i/>
                <w:sz w:val="21"/>
                <w:szCs w:val="21"/>
              </w:rPr>
              <w:t>(es. sperimentazione profit)</w:t>
            </w:r>
          </w:p>
        </w:tc>
        <w:tc>
          <w:tcPr>
            <w:tcW w:w="2463" w:type="dxa"/>
            <w:gridSpan w:val="2"/>
            <w:shd w:val="clear" w:color="auto" w:fill="auto"/>
            <w:vAlign w:val="center"/>
          </w:tcPr>
          <w:p w14:paraId="3E5B8E90" w14:textId="77777777" w:rsidR="008F7FAD" w:rsidRPr="00F70053" w:rsidRDefault="008F7FAD" w:rsidP="00945AFC">
            <w:pPr>
              <w:spacing w:before="60" w:after="60"/>
              <w:jc w:val="center"/>
              <w:rPr>
                <w:sz w:val="28"/>
                <w:szCs w:val="28"/>
              </w:rPr>
            </w:pPr>
            <w:r w:rsidRPr="005918FB">
              <w:rPr>
                <w:sz w:val="44"/>
                <w:szCs w:val="28"/>
              </w:rPr>
              <w:t>□</w:t>
            </w:r>
            <w:r>
              <w:rPr>
                <w:sz w:val="44"/>
                <w:szCs w:val="28"/>
              </w:rPr>
              <w:t xml:space="preserve"> </w:t>
            </w:r>
            <w:r>
              <w:rPr>
                <w:sz w:val="28"/>
                <w:szCs w:val="28"/>
              </w:rPr>
              <w:t>SI</w:t>
            </w:r>
          </w:p>
        </w:tc>
        <w:tc>
          <w:tcPr>
            <w:tcW w:w="2464" w:type="dxa"/>
            <w:gridSpan w:val="3"/>
            <w:shd w:val="clear" w:color="auto" w:fill="auto"/>
            <w:vAlign w:val="center"/>
          </w:tcPr>
          <w:p w14:paraId="59790187" w14:textId="583E02D1" w:rsidR="008F7FAD" w:rsidRPr="00F70053" w:rsidRDefault="00BF0ED6" w:rsidP="00945AFC">
            <w:pPr>
              <w:spacing w:before="60" w:after="60"/>
              <w:jc w:val="center"/>
              <w:rPr>
                <w:sz w:val="28"/>
                <w:szCs w:val="28"/>
              </w:rPr>
            </w:pPr>
            <w:r w:rsidRPr="00075FFE">
              <w:rPr>
                <w:rFonts w:ascii="Wingdings" w:hAnsi="Wingdings"/>
                <w:sz w:val="30"/>
                <w:szCs w:val="30"/>
              </w:rPr>
              <w:t></w:t>
            </w:r>
            <w:r w:rsidR="008F7FAD">
              <w:rPr>
                <w:sz w:val="44"/>
                <w:szCs w:val="28"/>
              </w:rPr>
              <w:t xml:space="preserve"> </w:t>
            </w:r>
            <w:r w:rsidR="008F7FAD">
              <w:rPr>
                <w:sz w:val="28"/>
                <w:szCs w:val="28"/>
              </w:rPr>
              <w:t>NO</w:t>
            </w:r>
          </w:p>
        </w:tc>
      </w:tr>
      <w:tr w:rsidR="008F7FAD" w:rsidRPr="00F70053" w14:paraId="352EF1A0" w14:textId="77777777" w:rsidTr="00945AFC">
        <w:tc>
          <w:tcPr>
            <w:tcW w:w="4927" w:type="dxa"/>
            <w:shd w:val="clear" w:color="auto" w:fill="auto"/>
            <w:vAlign w:val="center"/>
          </w:tcPr>
          <w:p w14:paraId="36622053" w14:textId="77777777" w:rsidR="008F7FAD" w:rsidRPr="00F70053" w:rsidRDefault="008F7FAD" w:rsidP="00945AFC">
            <w:pPr>
              <w:spacing w:before="60" w:after="60"/>
              <w:jc w:val="both"/>
              <w:rPr>
                <w:sz w:val="28"/>
                <w:szCs w:val="28"/>
              </w:rPr>
            </w:pPr>
            <w:r w:rsidRPr="002140C4">
              <w:rPr>
                <w:sz w:val="21"/>
                <w:szCs w:val="21"/>
              </w:rPr>
              <w:t>CARATTERISTICHE DEL PROGETTO</w:t>
            </w:r>
            <w:r>
              <w:rPr>
                <w:sz w:val="21"/>
                <w:szCs w:val="21"/>
              </w:rPr>
              <w:t xml:space="preserve"> (</w:t>
            </w:r>
            <w:r w:rsidRPr="002E1FF5">
              <w:rPr>
                <w:i/>
                <w:sz w:val="21"/>
                <w:szCs w:val="21"/>
              </w:rPr>
              <w:t>biomedico/osservazionale/clinico-interventistico/multidisciplinare</w:t>
            </w:r>
            <w:r>
              <w:rPr>
                <w:sz w:val="21"/>
                <w:szCs w:val="21"/>
              </w:rPr>
              <w:t>)</w:t>
            </w:r>
          </w:p>
        </w:tc>
        <w:tc>
          <w:tcPr>
            <w:tcW w:w="4927" w:type="dxa"/>
            <w:gridSpan w:val="5"/>
            <w:shd w:val="clear" w:color="auto" w:fill="auto"/>
            <w:vAlign w:val="center"/>
          </w:tcPr>
          <w:p w14:paraId="6D7ED143" w14:textId="4CF5129F" w:rsidR="008F7FAD" w:rsidRPr="00F70053" w:rsidRDefault="002B530A" w:rsidP="00945AFC">
            <w:pPr>
              <w:spacing w:before="60" w:after="60"/>
              <w:jc w:val="both"/>
              <w:rPr>
                <w:sz w:val="28"/>
                <w:szCs w:val="28"/>
              </w:rPr>
            </w:pPr>
            <w:r w:rsidRPr="008750C8">
              <w:rPr>
                <w:sz w:val="28"/>
                <w:szCs w:val="28"/>
              </w:rPr>
              <w:t>Interventistico non farmacologico</w:t>
            </w:r>
          </w:p>
        </w:tc>
      </w:tr>
      <w:tr w:rsidR="008F7FAD" w:rsidRPr="00F70053" w14:paraId="2482DE08" w14:textId="77777777" w:rsidTr="00945AFC">
        <w:tc>
          <w:tcPr>
            <w:tcW w:w="4927" w:type="dxa"/>
            <w:shd w:val="clear" w:color="auto" w:fill="auto"/>
            <w:vAlign w:val="center"/>
          </w:tcPr>
          <w:p w14:paraId="64F84B62" w14:textId="77777777" w:rsidR="008F7FAD" w:rsidRPr="002140C4" w:rsidRDefault="008F7FAD" w:rsidP="00945AFC">
            <w:pPr>
              <w:spacing w:before="60" w:after="60"/>
              <w:jc w:val="both"/>
              <w:rPr>
                <w:sz w:val="21"/>
                <w:szCs w:val="21"/>
              </w:rPr>
            </w:pPr>
            <w:r>
              <w:rPr>
                <w:sz w:val="21"/>
                <w:szCs w:val="21"/>
              </w:rPr>
              <w:t>STATO DI APPROVAZIONE DEL PROGETTO DA PARTE DEL COMITATO ETICO (</w:t>
            </w:r>
            <w:r w:rsidRPr="002140C4">
              <w:rPr>
                <w:i/>
                <w:sz w:val="21"/>
                <w:szCs w:val="21"/>
              </w:rPr>
              <w:t>se necessario per il tipo di studio</w:t>
            </w:r>
            <w:r>
              <w:rPr>
                <w:i/>
                <w:sz w:val="21"/>
                <w:szCs w:val="21"/>
              </w:rPr>
              <w:t xml:space="preserve"> barrare o evidenziare la casella corrispondente</w:t>
            </w:r>
            <w:r>
              <w:rPr>
                <w:sz w:val="21"/>
                <w:szCs w:val="21"/>
              </w:rPr>
              <w:t>)</w:t>
            </w:r>
          </w:p>
        </w:tc>
        <w:tc>
          <w:tcPr>
            <w:tcW w:w="2528" w:type="dxa"/>
            <w:gridSpan w:val="3"/>
            <w:shd w:val="clear" w:color="auto" w:fill="auto"/>
            <w:vAlign w:val="center"/>
          </w:tcPr>
          <w:p w14:paraId="2470DAA6" w14:textId="155172A5" w:rsidR="008F7FAD" w:rsidRPr="00F70053" w:rsidRDefault="00075FFE" w:rsidP="00945AFC">
            <w:pPr>
              <w:spacing w:before="60" w:after="60"/>
              <w:jc w:val="center"/>
              <w:rPr>
                <w:sz w:val="28"/>
                <w:szCs w:val="28"/>
              </w:rPr>
            </w:pPr>
            <w:r w:rsidRPr="00075FFE">
              <w:rPr>
                <w:rFonts w:ascii="Wingdings" w:hAnsi="Wingdings"/>
                <w:sz w:val="30"/>
                <w:szCs w:val="30"/>
              </w:rPr>
              <w:t></w:t>
            </w:r>
            <w:r w:rsidR="008F7FAD">
              <w:rPr>
                <w:sz w:val="28"/>
                <w:szCs w:val="28"/>
              </w:rPr>
              <w:t xml:space="preserve"> Ottenuto</w:t>
            </w:r>
          </w:p>
        </w:tc>
        <w:tc>
          <w:tcPr>
            <w:tcW w:w="2399" w:type="dxa"/>
            <w:gridSpan w:val="2"/>
            <w:shd w:val="clear" w:color="auto" w:fill="auto"/>
            <w:vAlign w:val="center"/>
          </w:tcPr>
          <w:p w14:paraId="1880E94D" w14:textId="77777777" w:rsidR="008F7FAD" w:rsidRPr="00F70053" w:rsidRDefault="008F7FAD" w:rsidP="00945AFC">
            <w:pPr>
              <w:spacing w:before="60" w:after="60"/>
              <w:jc w:val="center"/>
              <w:rPr>
                <w:sz w:val="28"/>
                <w:szCs w:val="28"/>
              </w:rPr>
            </w:pPr>
            <w:r w:rsidRPr="005918FB">
              <w:rPr>
                <w:sz w:val="44"/>
                <w:szCs w:val="28"/>
              </w:rPr>
              <w:t>□</w:t>
            </w:r>
            <w:r>
              <w:rPr>
                <w:sz w:val="44"/>
                <w:szCs w:val="28"/>
              </w:rPr>
              <w:t xml:space="preserve"> </w:t>
            </w:r>
            <w:r>
              <w:rPr>
                <w:sz w:val="28"/>
                <w:szCs w:val="28"/>
              </w:rPr>
              <w:t>Da ottenere</w:t>
            </w:r>
          </w:p>
        </w:tc>
      </w:tr>
      <w:tr w:rsidR="008F7FAD" w:rsidRPr="002E1FF5" w14:paraId="13D803E3" w14:textId="77777777" w:rsidTr="00945AFC">
        <w:tc>
          <w:tcPr>
            <w:tcW w:w="8330" w:type="dxa"/>
            <w:gridSpan w:val="5"/>
            <w:shd w:val="clear" w:color="auto" w:fill="auto"/>
            <w:vAlign w:val="center"/>
          </w:tcPr>
          <w:p w14:paraId="4B8C8F14" w14:textId="77777777" w:rsidR="008F7FAD" w:rsidRPr="002E1FF5" w:rsidRDefault="008F7FAD" w:rsidP="00945AFC">
            <w:pPr>
              <w:spacing w:before="60" w:after="60"/>
              <w:jc w:val="both"/>
              <w:rPr>
                <w:b/>
                <w:sz w:val="28"/>
                <w:szCs w:val="28"/>
              </w:rPr>
            </w:pPr>
            <w:r>
              <w:rPr>
                <w:b/>
                <w:sz w:val="28"/>
                <w:szCs w:val="28"/>
              </w:rPr>
              <w:t>DESCRIZIONE</w:t>
            </w:r>
            <w:r w:rsidRPr="00D34E85">
              <w:rPr>
                <w:b/>
                <w:sz w:val="28"/>
                <w:szCs w:val="28"/>
              </w:rPr>
              <w:t xml:space="preserve"> DEL PROGETTO</w:t>
            </w:r>
            <w:r w:rsidRPr="00F70053">
              <w:rPr>
                <w:sz w:val="28"/>
                <w:szCs w:val="28"/>
              </w:rPr>
              <w:t xml:space="preserve"> </w:t>
            </w:r>
            <w:r w:rsidRPr="00F70053">
              <w:rPr>
                <w:i/>
                <w:sz w:val="20"/>
                <w:szCs w:val="20"/>
              </w:rPr>
              <w:t>(</w:t>
            </w:r>
            <w:r>
              <w:rPr>
                <w:i/>
                <w:sz w:val="20"/>
                <w:szCs w:val="20"/>
              </w:rPr>
              <w:t>max 8</w:t>
            </w:r>
            <w:r w:rsidRPr="00F70053">
              <w:rPr>
                <w:i/>
                <w:sz w:val="20"/>
                <w:szCs w:val="20"/>
              </w:rPr>
              <w:t>00 parole)</w:t>
            </w:r>
          </w:p>
        </w:tc>
        <w:tc>
          <w:tcPr>
            <w:tcW w:w="1524" w:type="dxa"/>
            <w:shd w:val="pct10" w:color="FFFF00" w:fill="auto"/>
            <w:vAlign w:val="center"/>
          </w:tcPr>
          <w:p w14:paraId="6A59D89E" w14:textId="77777777" w:rsidR="008F7FAD" w:rsidRPr="002E1FF5" w:rsidRDefault="008F7FAD" w:rsidP="00945AFC">
            <w:pPr>
              <w:spacing w:before="60" w:after="60"/>
              <w:jc w:val="both"/>
              <w:rPr>
                <w:b/>
                <w:sz w:val="28"/>
                <w:szCs w:val="28"/>
              </w:rPr>
            </w:pPr>
            <w:r w:rsidRPr="00D52083">
              <w:rPr>
                <w:i/>
              </w:rPr>
              <w:t>Punti</w:t>
            </w:r>
          </w:p>
        </w:tc>
      </w:tr>
      <w:tr w:rsidR="008F7FAD" w:rsidRPr="00A4732A" w14:paraId="1C1182E8" w14:textId="77777777" w:rsidTr="00945AFC">
        <w:trPr>
          <w:trHeight w:val="4178"/>
        </w:trPr>
        <w:tc>
          <w:tcPr>
            <w:tcW w:w="9854" w:type="dxa"/>
            <w:gridSpan w:val="6"/>
            <w:shd w:val="clear" w:color="auto" w:fill="auto"/>
          </w:tcPr>
          <w:p w14:paraId="6119D0D0" w14:textId="77777777" w:rsidR="008F7FAD" w:rsidRPr="00DB1934" w:rsidRDefault="008F7FAD" w:rsidP="00945AFC">
            <w:pPr>
              <w:pStyle w:val="NormaleWeb"/>
              <w:spacing w:before="0" w:beforeAutospacing="0" w:after="120" w:afterAutospacing="0"/>
              <w:jc w:val="both"/>
              <w:rPr>
                <w:b/>
                <w:sz w:val="21"/>
                <w:szCs w:val="21"/>
              </w:rPr>
            </w:pPr>
            <w:r w:rsidRPr="00DB1934">
              <w:rPr>
                <w:b/>
                <w:sz w:val="21"/>
                <w:szCs w:val="21"/>
              </w:rPr>
              <w:lastRenderedPageBreak/>
              <w:t>Stato dell’Arte e Razionale</w:t>
            </w:r>
          </w:p>
          <w:p w14:paraId="1E6F2A68" w14:textId="65E0E3B3" w:rsidR="00F32E44" w:rsidRPr="00581337" w:rsidRDefault="00F32E44" w:rsidP="00F32E44">
            <w:pPr>
              <w:jc w:val="both"/>
              <w:rPr>
                <w:sz w:val="21"/>
                <w:szCs w:val="21"/>
              </w:rPr>
            </w:pPr>
            <w:r w:rsidRPr="00581337">
              <w:rPr>
                <w:sz w:val="21"/>
                <w:szCs w:val="21"/>
              </w:rPr>
              <w:t>La sindrome dell’intestino irritabile (</w:t>
            </w:r>
            <w:r w:rsidRPr="00581337">
              <w:rPr>
                <w:i/>
                <w:sz w:val="21"/>
                <w:szCs w:val="21"/>
              </w:rPr>
              <w:t xml:space="preserve">irritable bowel syndrome </w:t>
            </w:r>
            <w:r w:rsidRPr="00581337">
              <w:rPr>
                <w:sz w:val="21"/>
                <w:szCs w:val="21"/>
              </w:rPr>
              <w:t xml:space="preserve">IBS) è un disordine funzionale gastrointestinale con un importante impatto a livello personale e sulla società. La rilevanza sociale dell’IBS è enorme e in crescita poiché un ampio sottoinsieme di pazienti può soffrire di una </w:t>
            </w:r>
            <w:r w:rsidR="00FB701D">
              <w:rPr>
                <w:sz w:val="21"/>
                <w:szCs w:val="21"/>
              </w:rPr>
              <w:t>bassa qualità di vita,</w:t>
            </w:r>
            <w:r w:rsidRPr="00581337">
              <w:rPr>
                <w:sz w:val="21"/>
                <w:szCs w:val="21"/>
              </w:rPr>
              <w:t xml:space="preserve"> </w:t>
            </w:r>
            <w:r w:rsidR="00FB701D">
              <w:rPr>
                <w:sz w:val="21"/>
                <w:szCs w:val="21"/>
              </w:rPr>
              <w:t>dovuta al</w:t>
            </w:r>
            <w:r w:rsidRPr="00581337">
              <w:rPr>
                <w:sz w:val="21"/>
                <w:szCs w:val="21"/>
              </w:rPr>
              <w:t xml:space="preserve"> carattere cronico, da una comprensione incompleta della fisiopatologia e dell'eziologia della malattia, dalla mancanza di biomarcatori sensibili e specifici per la sua prevenzione, da una diagnosi e prognosi positiva e da una gestione insoddisfacente della stessa. Oltre a sintomi GI debilitanti, la gravità clinica dell’IBS e il fallimento del trattamento sono notevolmente amplificati dalla presenza comune di comorbidità somatiche e mentali, che aggravano il problema </w:t>
            </w:r>
            <w:r w:rsidR="00FB701D">
              <w:rPr>
                <w:sz w:val="21"/>
                <w:szCs w:val="21"/>
              </w:rPr>
              <w:t>in questo</w:t>
            </w:r>
            <w:r w:rsidRPr="00581337">
              <w:rPr>
                <w:sz w:val="21"/>
                <w:szCs w:val="21"/>
              </w:rPr>
              <w:t xml:space="preserve"> gruppo di pazienti. La ricerca sull’IBS è estremamente impegnativa a causa della marcata eterogeneità delle popolazioni di pazienti e dell'eziologia multifattoriale e della patogenesi della malattia, con alti tassi di comorbidità sia per i disturbi affettivi (a</w:t>
            </w:r>
            <w:r w:rsidR="00AD4A2C">
              <w:rPr>
                <w:sz w:val="21"/>
                <w:szCs w:val="21"/>
              </w:rPr>
              <w:t>nsia, depressione) che somatici</w:t>
            </w:r>
            <w:r w:rsidR="00FB701D" w:rsidRPr="00581337">
              <w:rPr>
                <w:sz w:val="21"/>
                <w:szCs w:val="21"/>
              </w:rPr>
              <w:t xml:space="preserve"> </w:t>
            </w:r>
            <w:r w:rsidRPr="00581337">
              <w:rPr>
                <w:sz w:val="21"/>
                <w:szCs w:val="21"/>
              </w:rPr>
              <w:t>(</w:t>
            </w:r>
            <w:r w:rsidR="00AD4A2C">
              <w:rPr>
                <w:sz w:val="21"/>
                <w:szCs w:val="21"/>
              </w:rPr>
              <w:t>es.</w:t>
            </w:r>
            <w:r w:rsidRPr="00581337">
              <w:rPr>
                <w:sz w:val="21"/>
                <w:szCs w:val="21"/>
              </w:rPr>
              <w:t xml:space="preserve"> fibromialgia) che aggiungono ulteriore complessità al quadro. Nel</w:t>
            </w:r>
            <w:r w:rsidR="009F2590">
              <w:rPr>
                <w:sz w:val="21"/>
                <w:szCs w:val="21"/>
              </w:rPr>
              <w:t>la</w:t>
            </w:r>
            <w:r w:rsidRPr="00581337">
              <w:rPr>
                <w:sz w:val="21"/>
                <w:szCs w:val="21"/>
              </w:rPr>
              <w:t xml:space="preserve"> recente consensus Rome IV (https://theromefoundation.org/Rome IV), l’IBS è esplicitamente concettualizzata come un disturbo delle interazioni dell’asse cervello-intestino, il che può s</w:t>
            </w:r>
            <w:r w:rsidR="00AD4A2C">
              <w:rPr>
                <w:sz w:val="21"/>
                <w:szCs w:val="21"/>
              </w:rPr>
              <w:t>piegare l'alto tasso di comorbid</w:t>
            </w:r>
            <w:r w:rsidRPr="00581337">
              <w:rPr>
                <w:sz w:val="21"/>
                <w:szCs w:val="21"/>
              </w:rPr>
              <w:t xml:space="preserve">ità. </w:t>
            </w:r>
            <w:r w:rsidR="00FB701D">
              <w:rPr>
                <w:sz w:val="21"/>
                <w:szCs w:val="21"/>
              </w:rPr>
              <w:t>Infatti</w:t>
            </w:r>
            <w:r w:rsidRPr="00581337">
              <w:rPr>
                <w:sz w:val="21"/>
                <w:szCs w:val="21"/>
              </w:rPr>
              <w:t>, tutti i livelli dell'asse (microbioma)-cervello-intestino sono implicati nella fisiopatologia dell’IBS, compresi la composizione e la funzi</w:t>
            </w:r>
            <w:r w:rsidR="00BC090C">
              <w:rPr>
                <w:sz w:val="21"/>
                <w:szCs w:val="21"/>
              </w:rPr>
              <w:t>one del microbiota, della barriera mucosale, i processi immunitari</w:t>
            </w:r>
            <w:r w:rsidRPr="00581337">
              <w:rPr>
                <w:sz w:val="21"/>
                <w:szCs w:val="21"/>
              </w:rPr>
              <w:t xml:space="preserve"> sistemici e mucosali, la motilità del tratto GI, la sensibilità allo stress neuroendocrino e la funzione dei neurocircuiti nocicettivi e cognitivo-affettivi. Tuttavia, la natura delle interazioni tra questi livelli rimane poco conosciuta. Ci sono prove che un certo numero di questi meccanismi svo</w:t>
            </w:r>
            <w:r w:rsidR="00BC090C">
              <w:rPr>
                <w:sz w:val="21"/>
                <w:szCs w:val="21"/>
              </w:rPr>
              <w:t>lga</w:t>
            </w:r>
            <w:r w:rsidRPr="00581337">
              <w:rPr>
                <w:sz w:val="21"/>
                <w:szCs w:val="21"/>
              </w:rPr>
              <w:t xml:space="preserve">no un ruolo anche nei disturbi affettivi e </w:t>
            </w:r>
            <w:r w:rsidR="00BC090C">
              <w:rPr>
                <w:sz w:val="21"/>
                <w:szCs w:val="21"/>
              </w:rPr>
              <w:t xml:space="preserve">in </w:t>
            </w:r>
            <w:r w:rsidRPr="00581337">
              <w:rPr>
                <w:sz w:val="21"/>
                <w:szCs w:val="21"/>
              </w:rPr>
              <w:t xml:space="preserve">altre sindromi somatiche funzionali, ma il </w:t>
            </w:r>
            <w:r w:rsidR="00BC090C">
              <w:rPr>
                <w:sz w:val="21"/>
                <w:szCs w:val="21"/>
              </w:rPr>
              <w:t>loro ruolo</w:t>
            </w:r>
            <w:r w:rsidR="00AD4A2C">
              <w:rPr>
                <w:sz w:val="21"/>
                <w:szCs w:val="21"/>
              </w:rPr>
              <w:t xml:space="preserve"> nella generazione di co-morbid</w:t>
            </w:r>
            <w:r w:rsidRPr="00581337">
              <w:rPr>
                <w:sz w:val="21"/>
                <w:szCs w:val="21"/>
              </w:rPr>
              <w:t>ità somatico-affettiva non è stato ampiamente studiato. Sulla base di queste premesse è necessario creare per l’IBS un ampio database di risultati ottenuti su campioni ematici, DNA, biopsie mucosali gastrointestinali, urine e campioni fecali provenienti da individui clinicamente ben caratterizzati per poter comprendere il ruolo dei fattori coinvolti in questo disordine.</w:t>
            </w:r>
          </w:p>
          <w:p w14:paraId="35710DD4" w14:textId="44DE47A4" w:rsidR="008F7FAD" w:rsidRPr="00581337" w:rsidRDefault="008F7FAD" w:rsidP="00945AFC">
            <w:pPr>
              <w:pStyle w:val="NormaleWeb"/>
              <w:spacing w:before="0" w:beforeAutospacing="0" w:after="120" w:afterAutospacing="0"/>
              <w:jc w:val="both"/>
              <w:rPr>
                <w:b/>
                <w:sz w:val="21"/>
                <w:szCs w:val="21"/>
              </w:rPr>
            </w:pPr>
          </w:p>
          <w:p w14:paraId="4D2C5768" w14:textId="77777777" w:rsidR="008F7FAD" w:rsidRPr="00581337" w:rsidRDefault="008F7FAD" w:rsidP="00945AFC">
            <w:pPr>
              <w:pStyle w:val="NormaleWeb"/>
              <w:spacing w:before="0" w:beforeAutospacing="0" w:after="120" w:afterAutospacing="0"/>
              <w:jc w:val="both"/>
              <w:rPr>
                <w:b/>
                <w:sz w:val="21"/>
                <w:szCs w:val="21"/>
              </w:rPr>
            </w:pPr>
            <w:r w:rsidRPr="00581337">
              <w:rPr>
                <w:b/>
                <w:sz w:val="21"/>
                <w:szCs w:val="21"/>
              </w:rPr>
              <w:t>Obiettivi</w:t>
            </w:r>
          </w:p>
          <w:p w14:paraId="26007225" w14:textId="4DE2EBC3" w:rsidR="002F7C37" w:rsidRPr="00536A74" w:rsidRDefault="002F7C37" w:rsidP="002D6A19">
            <w:pPr>
              <w:pStyle w:val="NormaleWeb"/>
              <w:spacing w:before="0" w:beforeAutospacing="0" w:after="120" w:afterAutospacing="0"/>
              <w:jc w:val="both"/>
              <w:rPr>
                <w:sz w:val="21"/>
                <w:szCs w:val="21"/>
              </w:rPr>
            </w:pPr>
            <w:r w:rsidRPr="00536A74">
              <w:rPr>
                <w:sz w:val="21"/>
                <w:szCs w:val="21"/>
              </w:rPr>
              <w:t>Obiettivo di tale studio è l’analisi di campioni biologici raccolti da un’ampia coorte di pazienti affetti da IBS. L’ipotesi principale è che le persone che soffrono di IBS e di comorbidità mentali e somatiche rappresentino una popolazione clinica distinta rispetto ai pazienti affetti solo da IBS. In quest</w:t>
            </w:r>
            <w:r w:rsidR="00536A74">
              <w:rPr>
                <w:sz w:val="21"/>
                <w:szCs w:val="21"/>
              </w:rPr>
              <w:t>e</w:t>
            </w:r>
            <w:r w:rsidRPr="00536A74">
              <w:rPr>
                <w:sz w:val="21"/>
                <w:szCs w:val="21"/>
              </w:rPr>
              <w:t xml:space="preserve"> popolazion</w:t>
            </w:r>
            <w:r w:rsidR="00536A74">
              <w:rPr>
                <w:sz w:val="21"/>
                <w:szCs w:val="21"/>
              </w:rPr>
              <w:t>i</w:t>
            </w:r>
            <w:r w:rsidRPr="00536A74">
              <w:rPr>
                <w:sz w:val="21"/>
                <w:szCs w:val="21"/>
              </w:rPr>
              <w:t xml:space="preserve"> </w:t>
            </w:r>
            <w:r w:rsidR="00536A74">
              <w:rPr>
                <w:sz w:val="21"/>
                <w:szCs w:val="21"/>
              </w:rPr>
              <w:t>di pazienti con IBS con o senza comorbidità</w:t>
            </w:r>
            <w:r w:rsidRPr="00536A74">
              <w:rPr>
                <w:sz w:val="21"/>
                <w:szCs w:val="21"/>
              </w:rPr>
              <w:t>, le manifestazioni cliniche sono guidate da anomalie nelle interazioni tra cervello e intestino, determinate dal genere e da specifici, ma indefiniti</w:t>
            </w:r>
            <w:r w:rsidR="00536A74">
              <w:rPr>
                <w:sz w:val="21"/>
                <w:szCs w:val="21"/>
              </w:rPr>
              <w:t>,</w:t>
            </w:r>
            <w:r w:rsidRPr="00536A74">
              <w:rPr>
                <w:sz w:val="21"/>
                <w:szCs w:val="21"/>
              </w:rPr>
              <w:t xml:space="preserve"> meccanismi causali. L'identificazione e la convalida di questi meccanismi possono aiutare nella diagnosi precoce, nella prevenzione e nel trattamento dei pazienti affetti, migliorando così il benessere e riducendo il carico socio</w:t>
            </w:r>
            <w:r w:rsidR="00536A74">
              <w:rPr>
                <w:sz w:val="21"/>
                <w:szCs w:val="21"/>
              </w:rPr>
              <w:t>-</w:t>
            </w:r>
            <w:r w:rsidRPr="00536A74">
              <w:rPr>
                <w:sz w:val="21"/>
                <w:szCs w:val="21"/>
              </w:rPr>
              <w:t>economico associato. Alla luce di tali premesse, gli obiettivi da svolgere sono i seguenti: -un’ampia caratterizzazione dell’attivazione immunitaria e delle interazioni neuro-immuni; -valutazione della permeabilità della barriera intestinale.</w:t>
            </w:r>
          </w:p>
          <w:p w14:paraId="5F9924C1" w14:textId="77777777" w:rsidR="002F7C37" w:rsidRDefault="002F7C37" w:rsidP="002D6A19">
            <w:pPr>
              <w:pStyle w:val="NormaleWeb"/>
              <w:spacing w:before="0" w:beforeAutospacing="0" w:after="120" w:afterAutospacing="0"/>
              <w:jc w:val="both"/>
            </w:pPr>
          </w:p>
          <w:p w14:paraId="6164B6E6" w14:textId="7A27B008" w:rsidR="002D6A19" w:rsidRDefault="008F7FAD" w:rsidP="002D6A19">
            <w:pPr>
              <w:pStyle w:val="NormaleWeb"/>
              <w:spacing w:before="0" w:beforeAutospacing="0" w:after="120" w:afterAutospacing="0"/>
              <w:jc w:val="both"/>
              <w:rPr>
                <w:b/>
                <w:sz w:val="21"/>
                <w:szCs w:val="21"/>
              </w:rPr>
            </w:pPr>
            <w:r w:rsidRPr="00DB1934">
              <w:rPr>
                <w:b/>
                <w:sz w:val="21"/>
                <w:szCs w:val="21"/>
              </w:rPr>
              <w:t>Metodologia (</w:t>
            </w:r>
            <w:r w:rsidRPr="00DB1934">
              <w:rPr>
                <w:b/>
                <w:i/>
                <w:sz w:val="21"/>
                <w:szCs w:val="21"/>
              </w:rPr>
              <w:t>descrizione del campione, principali tecniche utilizzate, aspetti biostatistici</w:t>
            </w:r>
            <w:r>
              <w:rPr>
                <w:b/>
                <w:i/>
                <w:sz w:val="21"/>
                <w:szCs w:val="21"/>
              </w:rPr>
              <w:t>, fattibilità</w:t>
            </w:r>
            <w:r w:rsidRPr="00DB1934">
              <w:rPr>
                <w:b/>
                <w:i/>
                <w:sz w:val="21"/>
                <w:szCs w:val="21"/>
              </w:rPr>
              <w:t>…</w:t>
            </w:r>
            <w:r w:rsidRPr="00DB1934">
              <w:rPr>
                <w:b/>
                <w:sz w:val="21"/>
                <w:szCs w:val="21"/>
              </w:rPr>
              <w:t>)</w:t>
            </w:r>
          </w:p>
          <w:p w14:paraId="1123F814" w14:textId="0668BD2F" w:rsidR="002F7C37" w:rsidRPr="00536A74" w:rsidRDefault="002F7C37" w:rsidP="00945AFC">
            <w:pPr>
              <w:pStyle w:val="NormaleWeb"/>
              <w:spacing w:before="0" w:beforeAutospacing="0" w:after="120" w:afterAutospacing="0"/>
              <w:jc w:val="both"/>
              <w:rPr>
                <w:sz w:val="21"/>
                <w:szCs w:val="21"/>
              </w:rPr>
            </w:pPr>
            <w:r w:rsidRPr="00536A74">
              <w:rPr>
                <w:sz w:val="21"/>
                <w:szCs w:val="21"/>
              </w:rPr>
              <w:t>L’identificazione e la quantificazione delle cellule coinvolte nell’attivazione dell’immunità mucosale, così come la caratterizzazione delle fibre nervose saranno effettuate attraverso tecniche di immunofluorescenza ed immunoistochimica, saggi immunoenzimatici (ELISA) e/o western blot. In particolare, per la caratterizzazione delle cellule immunitarie, saranno utilizzati specifici anticorpi rivolti verso i recettori CD3 (linfociti-T), CD68 (marker dei macrofagi) e verso la triptasi (marcatore mastocitario), Enolasi neurone specifica (NSE, marker di fibre nervose), growth associated protein-43 (GAP-43, marker di gemmazione neuronale, ovvero di sprouting neuronale). Le subpopolazioni così identificate saranno quantificate tramite un metodo di conta cellulare condotto su campi acquisiti in forma randomizzata (acquisizione tramite fotomicroscopio LEICA DMLB con fotocamera digitale NIKON DXM 1200; analisi dell’immagine e conta delle cellule positive tramite ImageJ Software). Al fine di valutare le interazioni tra la componente immunitaria e nervosa, verranno condotte delle analisi in immunofluorescenza per marcare contemporaneamente le seguenti coppie di target: triptasi-GAP43 e CD68- GAP43. Per valutare la distanza tra</w:t>
            </w:r>
            <w:r>
              <w:t xml:space="preserve"> macrofagi/mastociti </w:t>
            </w:r>
            <w:r w:rsidRPr="00536A74">
              <w:rPr>
                <w:sz w:val="21"/>
                <w:szCs w:val="21"/>
              </w:rPr>
              <w:t>e fibre GAP43-positive sarà utilizzato il software ImageJ. I risultati verranno espressi come % di cellule entro 5 µm di distanza dalle fibre GAP43-positive rispetto alla lamina propria. Inoltre, le proteine totali, estratte da biopsie coliche</w:t>
            </w:r>
            <w:r>
              <w:t xml:space="preserve"> </w:t>
            </w:r>
            <w:r w:rsidRPr="00536A74">
              <w:rPr>
                <w:sz w:val="21"/>
                <w:szCs w:val="21"/>
              </w:rPr>
              <w:t>congelate in snap frozen e successivamente conservate a -80°C, verranno utilizzate in western blot e saggi immunoenzimatici (ELISA) al fine di analizzare markers delle cellule immunitarie e/o di neuroplasticità (es. IFN-γ). Infine, la valutazione della permeabilità della barriera intestinale sarà eseguita mediante un sistema in vitro, costituito dalla linea cellulare epiteliale intestinale umana Caco2, seminata su filtri porosi disponibili in commercio. Le cellule saranno coltivate fino alla formazione di un monostrato differenziato e polarizzato, la crescita cellulare verrà monitorata attraverso la misurazione della resistenza cellulare trans-epiteliale (TER). Le alterazioni della permeabilità paracellulare saranno valutate con l'aggiunta di isotiocianato di fluoresceina coniugato con acido sulfonico (FITC) al compartimento apicale del monostrato di Caco2 insieme ai campioni di plasma e ai surnatanti dei pazienti con IBS e dei soggetti di controllo.</w:t>
            </w:r>
          </w:p>
          <w:p w14:paraId="2BF0C353" w14:textId="77777777" w:rsidR="002F7C37" w:rsidRPr="00536A74" w:rsidRDefault="002F7C37" w:rsidP="00945AFC">
            <w:pPr>
              <w:pStyle w:val="NormaleWeb"/>
              <w:spacing w:before="0" w:beforeAutospacing="0" w:after="120" w:afterAutospacing="0"/>
              <w:jc w:val="both"/>
              <w:rPr>
                <w:sz w:val="21"/>
                <w:szCs w:val="21"/>
              </w:rPr>
            </w:pPr>
          </w:p>
          <w:p w14:paraId="70190EE0" w14:textId="77777777" w:rsidR="002F7C37" w:rsidRDefault="002F7C37" w:rsidP="00945AFC">
            <w:pPr>
              <w:pStyle w:val="NormaleWeb"/>
              <w:spacing w:before="0" w:beforeAutospacing="0" w:after="120" w:afterAutospacing="0"/>
              <w:jc w:val="both"/>
              <w:rPr>
                <w:b/>
                <w:sz w:val="21"/>
                <w:szCs w:val="21"/>
              </w:rPr>
            </w:pPr>
          </w:p>
          <w:p w14:paraId="26C202AB" w14:textId="77777777" w:rsidR="008F7FAD" w:rsidRDefault="008F7FAD" w:rsidP="00945AFC">
            <w:pPr>
              <w:pStyle w:val="NormaleWeb"/>
              <w:spacing w:before="0" w:beforeAutospacing="0" w:after="120" w:afterAutospacing="0"/>
              <w:jc w:val="both"/>
              <w:rPr>
                <w:b/>
                <w:sz w:val="21"/>
                <w:szCs w:val="21"/>
              </w:rPr>
            </w:pPr>
            <w:r w:rsidRPr="00DB1934">
              <w:rPr>
                <w:b/>
                <w:sz w:val="21"/>
                <w:szCs w:val="21"/>
              </w:rPr>
              <w:t>Risultati attesi</w:t>
            </w:r>
          </w:p>
          <w:p w14:paraId="69BE48A6" w14:textId="77777777" w:rsidR="002D6A19" w:rsidRPr="00536A74" w:rsidRDefault="002F7C37" w:rsidP="00536A74">
            <w:pPr>
              <w:pStyle w:val="NormaleWeb"/>
              <w:spacing w:before="0" w:beforeAutospacing="0" w:after="120" w:afterAutospacing="0"/>
              <w:jc w:val="both"/>
              <w:rPr>
                <w:sz w:val="21"/>
                <w:szCs w:val="21"/>
              </w:rPr>
            </w:pPr>
            <w:r w:rsidRPr="00536A74">
              <w:rPr>
                <w:sz w:val="21"/>
                <w:szCs w:val="21"/>
              </w:rPr>
              <w:t>Sulla base di queste premesse il presente studio si pone l’obbiettivo di ottenere un’ampia caratterizzazione molecolare e cellullare di differenti campioni biologici di pazienti con solo IBS, con IBS più comorbidità e di soggetti di controllo per comprendere il ruolo dei fattori coinvolti in questo disordine. Inoltre, tali analisi permetteranno di descrivere in profondità i profili cellulari e molecolari che differenziano il solo IBS dall’IBS associato a comorbidità.</w:t>
            </w:r>
          </w:p>
          <w:p w14:paraId="6DCAE71F" w14:textId="082760EE" w:rsidR="002F7C37" w:rsidRPr="00083E21" w:rsidRDefault="002F7C37" w:rsidP="00083E21">
            <w:pPr>
              <w:jc w:val="both"/>
              <w:rPr>
                <w:sz w:val="21"/>
                <w:szCs w:val="21"/>
              </w:rPr>
            </w:pPr>
          </w:p>
        </w:tc>
      </w:tr>
      <w:tr w:rsidR="008F7FAD" w:rsidRPr="002E1FF5" w14:paraId="048F57B8" w14:textId="77777777" w:rsidTr="00945AFC">
        <w:tc>
          <w:tcPr>
            <w:tcW w:w="8330" w:type="dxa"/>
            <w:gridSpan w:val="5"/>
            <w:shd w:val="clear" w:color="auto" w:fill="auto"/>
            <w:vAlign w:val="center"/>
          </w:tcPr>
          <w:p w14:paraId="66D7AE75" w14:textId="77777777" w:rsidR="008F7FAD" w:rsidRDefault="008F7FAD" w:rsidP="00945AFC">
            <w:pPr>
              <w:spacing w:before="60" w:after="60"/>
              <w:jc w:val="both"/>
              <w:rPr>
                <w:sz w:val="28"/>
                <w:szCs w:val="28"/>
              </w:rPr>
            </w:pPr>
            <w:r>
              <w:rPr>
                <w:b/>
                <w:sz w:val="28"/>
                <w:szCs w:val="28"/>
              </w:rPr>
              <w:t>DESCRIZIONE</w:t>
            </w:r>
            <w:r w:rsidRPr="007A1E3A">
              <w:rPr>
                <w:b/>
                <w:sz w:val="28"/>
                <w:szCs w:val="28"/>
              </w:rPr>
              <w:t xml:space="preserve"> DELLE ATTIVITÀ DELL’ASSEGNISTA</w:t>
            </w:r>
            <w:r w:rsidRPr="00F70053">
              <w:rPr>
                <w:sz w:val="28"/>
                <w:szCs w:val="28"/>
              </w:rPr>
              <w:t xml:space="preserve"> </w:t>
            </w:r>
          </w:p>
          <w:p w14:paraId="7B4CB6D6" w14:textId="77777777" w:rsidR="008F7FAD" w:rsidRDefault="008F7FAD" w:rsidP="00945AFC">
            <w:pPr>
              <w:spacing w:before="60" w:after="60"/>
              <w:jc w:val="both"/>
              <w:rPr>
                <w:i/>
                <w:sz w:val="20"/>
                <w:szCs w:val="20"/>
              </w:rPr>
            </w:pPr>
            <w:r w:rsidRPr="00F70053">
              <w:rPr>
                <w:i/>
                <w:sz w:val="20"/>
                <w:szCs w:val="20"/>
              </w:rPr>
              <w:t>(</w:t>
            </w:r>
            <w:r>
              <w:rPr>
                <w:i/>
                <w:sz w:val="20"/>
                <w:szCs w:val="20"/>
              </w:rPr>
              <w:t xml:space="preserve">per i </w:t>
            </w:r>
            <w:r w:rsidRPr="00DB1934">
              <w:rPr>
                <w:b/>
                <w:i/>
                <w:sz w:val="20"/>
                <w:szCs w:val="20"/>
                <w:u w:val="single"/>
              </w:rPr>
              <w:t>nuovi</w:t>
            </w:r>
            <w:r>
              <w:rPr>
                <w:i/>
                <w:sz w:val="20"/>
                <w:szCs w:val="20"/>
              </w:rPr>
              <w:t xml:space="preserve"> assegni: max 400</w:t>
            </w:r>
            <w:r w:rsidRPr="00F70053">
              <w:rPr>
                <w:i/>
                <w:sz w:val="20"/>
                <w:szCs w:val="20"/>
              </w:rPr>
              <w:t xml:space="preserve"> parole</w:t>
            </w:r>
            <w:r>
              <w:rPr>
                <w:i/>
                <w:sz w:val="20"/>
                <w:szCs w:val="20"/>
              </w:rPr>
              <w:t xml:space="preserve">; competenze richieste, </w:t>
            </w:r>
            <w:r w:rsidRPr="004B08A3">
              <w:rPr>
                <w:i/>
                <w:sz w:val="20"/>
                <w:szCs w:val="20"/>
              </w:rPr>
              <w:t>scans</w:t>
            </w:r>
            <w:r>
              <w:rPr>
                <w:i/>
                <w:sz w:val="20"/>
                <w:szCs w:val="20"/>
              </w:rPr>
              <w:t xml:space="preserve">ione temporale della formazione, </w:t>
            </w:r>
            <w:r w:rsidRPr="004B08A3">
              <w:rPr>
                <w:i/>
                <w:sz w:val="20"/>
                <w:szCs w:val="20"/>
              </w:rPr>
              <w:t>scansione temporale dell’attivi</w:t>
            </w:r>
            <w:r>
              <w:rPr>
                <w:i/>
                <w:sz w:val="20"/>
                <w:szCs w:val="20"/>
              </w:rPr>
              <w:t xml:space="preserve">tà, </w:t>
            </w:r>
            <w:r w:rsidRPr="004B08A3">
              <w:rPr>
                <w:i/>
                <w:sz w:val="20"/>
                <w:szCs w:val="20"/>
              </w:rPr>
              <w:t>obiettivi primari e secondari</w:t>
            </w:r>
            <w:r w:rsidRPr="00F70053">
              <w:rPr>
                <w:i/>
                <w:sz w:val="20"/>
                <w:szCs w:val="20"/>
              </w:rPr>
              <w:t>)</w:t>
            </w:r>
          </w:p>
          <w:p w14:paraId="490F2501" w14:textId="77777777" w:rsidR="008F7FAD" w:rsidRPr="00DB1934" w:rsidRDefault="008F7FAD" w:rsidP="00945AFC">
            <w:pPr>
              <w:spacing w:before="60" w:after="60"/>
              <w:jc w:val="both"/>
              <w:rPr>
                <w:i/>
                <w:sz w:val="20"/>
                <w:szCs w:val="20"/>
              </w:rPr>
            </w:pPr>
            <w:r>
              <w:rPr>
                <w:i/>
                <w:sz w:val="20"/>
                <w:szCs w:val="20"/>
              </w:rPr>
              <w:t xml:space="preserve">(per i </w:t>
            </w:r>
            <w:r w:rsidRPr="00DB1934">
              <w:rPr>
                <w:b/>
                <w:i/>
                <w:sz w:val="20"/>
                <w:szCs w:val="20"/>
                <w:u w:val="single"/>
              </w:rPr>
              <w:t>rinnovi</w:t>
            </w:r>
            <w:r>
              <w:rPr>
                <w:i/>
                <w:sz w:val="20"/>
                <w:szCs w:val="20"/>
              </w:rPr>
              <w:t xml:space="preserve">: max 600 parole – da integrare con la relazione dell’assegnista; formazione raggiunta, attività effettuata, </w:t>
            </w:r>
            <w:r w:rsidRPr="004B08A3">
              <w:rPr>
                <w:i/>
                <w:sz w:val="20"/>
                <w:szCs w:val="20"/>
              </w:rPr>
              <w:t xml:space="preserve">obiettivi </w:t>
            </w:r>
            <w:r>
              <w:rPr>
                <w:i/>
                <w:sz w:val="20"/>
                <w:szCs w:val="20"/>
              </w:rPr>
              <w:t xml:space="preserve">raggiunti/competenze acquisite, </w:t>
            </w:r>
            <w:r w:rsidRPr="004B08A3">
              <w:rPr>
                <w:i/>
                <w:sz w:val="20"/>
                <w:szCs w:val="20"/>
              </w:rPr>
              <w:t>formazione anco</w:t>
            </w:r>
            <w:r>
              <w:rPr>
                <w:i/>
                <w:sz w:val="20"/>
                <w:szCs w:val="20"/>
              </w:rPr>
              <w:t xml:space="preserve">ra da acquisire (se pertinente), </w:t>
            </w:r>
            <w:r w:rsidRPr="004B08A3">
              <w:rPr>
                <w:i/>
                <w:sz w:val="20"/>
                <w:szCs w:val="20"/>
              </w:rPr>
              <w:t>scansione temporale dell’attività durante il rinnovo</w:t>
            </w:r>
            <w:r>
              <w:rPr>
                <w:i/>
                <w:sz w:val="20"/>
                <w:szCs w:val="20"/>
              </w:rPr>
              <w:t>)</w:t>
            </w:r>
          </w:p>
        </w:tc>
        <w:tc>
          <w:tcPr>
            <w:tcW w:w="1524" w:type="dxa"/>
            <w:shd w:val="pct10" w:color="FFFF00" w:fill="auto"/>
            <w:vAlign w:val="center"/>
          </w:tcPr>
          <w:p w14:paraId="650B7B8A" w14:textId="77777777" w:rsidR="008F7FAD" w:rsidRPr="002E1FF5" w:rsidRDefault="008F7FAD" w:rsidP="00945AFC">
            <w:pPr>
              <w:spacing w:before="60" w:after="60"/>
              <w:jc w:val="both"/>
              <w:rPr>
                <w:b/>
                <w:sz w:val="28"/>
                <w:szCs w:val="28"/>
              </w:rPr>
            </w:pPr>
            <w:r w:rsidRPr="00D52083">
              <w:rPr>
                <w:i/>
              </w:rPr>
              <w:t>Punti</w:t>
            </w:r>
          </w:p>
        </w:tc>
      </w:tr>
      <w:tr w:rsidR="008F7FAD" w:rsidRPr="00A4732A" w14:paraId="44D64D99" w14:textId="77777777" w:rsidTr="00945AFC">
        <w:trPr>
          <w:trHeight w:val="3090"/>
        </w:trPr>
        <w:tc>
          <w:tcPr>
            <w:tcW w:w="9854" w:type="dxa"/>
            <w:gridSpan w:val="6"/>
            <w:shd w:val="clear" w:color="auto" w:fill="auto"/>
          </w:tcPr>
          <w:p w14:paraId="0F6ABE84" w14:textId="26BD9D52" w:rsidR="002F7C37" w:rsidRPr="00B92704" w:rsidRDefault="00641FF2" w:rsidP="002F7C37">
            <w:pPr>
              <w:pStyle w:val="NormaleWeb"/>
              <w:spacing w:after="120"/>
              <w:jc w:val="both"/>
              <w:rPr>
                <w:sz w:val="21"/>
                <w:szCs w:val="21"/>
              </w:rPr>
            </w:pPr>
            <w:r>
              <w:rPr>
                <w:b/>
                <w:sz w:val="21"/>
                <w:szCs w:val="21"/>
              </w:rPr>
              <w:t>Mesi 1-12</w:t>
            </w:r>
            <w:r w:rsidRPr="00693543">
              <w:rPr>
                <w:b/>
                <w:sz w:val="21"/>
                <w:szCs w:val="21"/>
              </w:rPr>
              <w:t>:</w:t>
            </w:r>
            <w:r>
              <w:rPr>
                <w:sz w:val="21"/>
                <w:szCs w:val="21"/>
              </w:rPr>
              <w:t xml:space="preserve"> </w:t>
            </w:r>
            <w:r w:rsidR="002F7C37" w:rsidRPr="00536A74">
              <w:rPr>
                <w:sz w:val="21"/>
                <w:szCs w:val="21"/>
              </w:rPr>
              <w:t xml:space="preserve">Nell'ambito del progetto ‘Development, dIagnostic and prevention of gender-related Somatic and mental COmorbitiEs in iRritable bowel syndrome In Europe’ — ‘DISCOvERIE’ finanziato dalla Commissione Europea (Grant agreement 848228), l'assegnista si occuperà delle attività previste nel WP3 “Intestinal barrier function“. In particolare, attraverso differenti approcci metodologici (immunofluorescenza, immunoistochimica, ELISA e western blot) dovranno essere analizzati campioni di biopsie coliche, in modo da identificare e quantificare le cellule coinvolte nell’attivazione dell’immunità mucosale, così come le fibre nervose. Inoltre, attraverso un saggio di permeabilità in vitro, verrà effettuata una valutazione della permeabilità della barriera intestinale partendo da surnatanti di biopsie coliche e plasma. La formazione dell’assegnista avverrà tramite affiancamento con personale esperto. </w:t>
            </w:r>
          </w:p>
          <w:p w14:paraId="0A24E79E" w14:textId="0CA43A28" w:rsidR="00B92704" w:rsidRPr="00B92704" w:rsidRDefault="00B92704" w:rsidP="00B92704">
            <w:pPr>
              <w:pStyle w:val="NormaleWeb"/>
              <w:spacing w:after="120"/>
              <w:jc w:val="both"/>
              <w:rPr>
                <w:sz w:val="21"/>
                <w:szCs w:val="21"/>
              </w:rPr>
            </w:pPr>
          </w:p>
        </w:tc>
      </w:tr>
    </w:tbl>
    <w:p w14:paraId="6C6BBF12" w14:textId="77777777" w:rsidR="008F7FAD" w:rsidRDefault="008F7FAD" w:rsidP="008F7FAD">
      <w:pPr>
        <w:jc w:val="both"/>
        <w:rPr>
          <w:color w:val="FF0000"/>
        </w:rPr>
      </w:pPr>
      <w:r>
        <w:rPr>
          <w:color w:val="FF0000"/>
        </w:rPr>
        <w:t>SE RINNOVO, SI RICORDA DI ALLEGARE ANCHE LA RELAZIONE DELL’ASSEGNISTA</w:t>
      </w:r>
      <w:r w:rsidR="00052630">
        <w:rPr>
          <w:color w:val="FF0000"/>
        </w:rPr>
        <w:t xml:space="preserve"> CON LA SUA PRODUZIONE SCIENTIFICA</w:t>
      </w:r>
      <w:r>
        <w:rPr>
          <w:color w:val="FF0000"/>
        </w:rPr>
        <w:t>.</w:t>
      </w:r>
    </w:p>
    <w:p w14:paraId="7C8E033B" w14:textId="77777777" w:rsidR="008F7FAD" w:rsidRPr="00935A0A" w:rsidRDefault="008F7FAD" w:rsidP="008F7FAD">
      <w:pPr>
        <w:rPr>
          <w:color w:val="FF0000"/>
          <w:sz w:val="18"/>
        </w:rPr>
      </w:pPr>
    </w:p>
    <w:p w14:paraId="6F1EEBA3" w14:textId="77777777" w:rsidR="008F7FAD" w:rsidRPr="005918FB" w:rsidRDefault="008F7FAD" w:rsidP="008F7FAD">
      <w:pPr>
        <w:spacing w:after="60"/>
        <w:ind w:left="720"/>
        <w:jc w:val="right"/>
        <w:rPr>
          <w:i/>
        </w:rPr>
      </w:pPr>
      <w:r>
        <w:rPr>
          <w:i/>
        </w:rPr>
        <w:t>Scheda attività assistenziale (se prevista)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603B8" w:rsidRPr="00E603B8" w14:paraId="6AEB962C" w14:textId="77777777" w:rsidTr="00341677">
        <w:tc>
          <w:tcPr>
            <w:tcW w:w="9889" w:type="dxa"/>
            <w:tcBorders>
              <w:top w:val="single" w:sz="4" w:space="0" w:color="auto"/>
              <w:left w:val="single" w:sz="4" w:space="0" w:color="auto"/>
              <w:bottom w:val="single" w:sz="4" w:space="0" w:color="auto"/>
              <w:right w:val="single" w:sz="4" w:space="0" w:color="auto"/>
            </w:tcBorders>
            <w:hideMark/>
          </w:tcPr>
          <w:p w14:paraId="1042BA23" w14:textId="77777777" w:rsidR="00341677" w:rsidRPr="00E603B8" w:rsidRDefault="00341677" w:rsidP="00D90C0A">
            <w:pPr>
              <w:spacing w:before="60" w:after="60"/>
              <w:jc w:val="both"/>
              <w:rPr>
                <w:b/>
                <w:color w:val="FF0000"/>
              </w:rPr>
            </w:pPr>
            <w:r w:rsidRPr="00E603B8">
              <w:rPr>
                <w:b/>
                <w:color w:val="FF0000"/>
              </w:rPr>
              <w:t>ATTIVITÀ ASSISTENZIALI DELL’ASSEGNISTA/ N. ORE SETTIMANA</w:t>
            </w:r>
          </w:p>
        </w:tc>
      </w:tr>
      <w:tr w:rsidR="00E603B8" w:rsidRPr="00E603B8" w14:paraId="20E9CA42" w14:textId="77777777" w:rsidTr="00341677">
        <w:tc>
          <w:tcPr>
            <w:tcW w:w="9889" w:type="dxa"/>
            <w:tcBorders>
              <w:top w:val="single" w:sz="4" w:space="0" w:color="auto"/>
              <w:left w:val="single" w:sz="4" w:space="0" w:color="auto"/>
              <w:bottom w:val="single" w:sz="4" w:space="0" w:color="auto"/>
              <w:right w:val="single" w:sz="4" w:space="0" w:color="auto"/>
            </w:tcBorders>
          </w:tcPr>
          <w:p w14:paraId="6AECFE6F" w14:textId="595EDF7C" w:rsidR="00341677" w:rsidRPr="00B92704" w:rsidRDefault="00B92704" w:rsidP="00D90C0A">
            <w:pPr>
              <w:pStyle w:val="NormaleWeb"/>
              <w:spacing w:before="0" w:beforeAutospacing="0" w:after="120" w:afterAutospacing="0"/>
              <w:jc w:val="both"/>
              <w:rPr>
                <w:sz w:val="21"/>
                <w:szCs w:val="21"/>
              </w:rPr>
            </w:pPr>
            <w:r w:rsidRPr="00B92704">
              <w:rPr>
                <w:sz w:val="21"/>
                <w:szCs w:val="21"/>
              </w:rPr>
              <w:t>NA</w:t>
            </w:r>
          </w:p>
        </w:tc>
      </w:tr>
      <w:tr w:rsidR="00E603B8" w:rsidRPr="00E603B8" w14:paraId="76C48DE9" w14:textId="77777777" w:rsidTr="00341677">
        <w:tc>
          <w:tcPr>
            <w:tcW w:w="9889" w:type="dxa"/>
            <w:tcBorders>
              <w:top w:val="single" w:sz="4" w:space="0" w:color="auto"/>
              <w:left w:val="single" w:sz="4" w:space="0" w:color="auto"/>
              <w:bottom w:val="single" w:sz="4" w:space="0" w:color="auto"/>
              <w:right w:val="single" w:sz="4" w:space="0" w:color="auto"/>
            </w:tcBorders>
          </w:tcPr>
          <w:p w14:paraId="4401090A" w14:textId="77777777" w:rsidR="00341677" w:rsidRPr="00E603B8" w:rsidRDefault="00341677" w:rsidP="00D90C0A">
            <w:pPr>
              <w:pStyle w:val="NormaleWeb"/>
              <w:spacing w:before="0" w:beforeAutospacing="0" w:after="120" w:afterAutospacing="0"/>
              <w:jc w:val="both"/>
              <w:rPr>
                <w:color w:val="FF0000"/>
                <w:sz w:val="21"/>
                <w:szCs w:val="21"/>
              </w:rPr>
            </w:pPr>
          </w:p>
        </w:tc>
      </w:tr>
      <w:tr w:rsidR="00E603B8" w:rsidRPr="00E603B8" w14:paraId="25B1E51E" w14:textId="77777777" w:rsidTr="00341677">
        <w:tc>
          <w:tcPr>
            <w:tcW w:w="9889" w:type="dxa"/>
            <w:tcBorders>
              <w:top w:val="single" w:sz="4" w:space="0" w:color="auto"/>
              <w:left w:val="single" w:sz="4" w:space="0" w:color="auto"/>
              <w:bottom w:val="single" w:sz="4" w:space="0" w:color="auto"/>
              <w:right w:val="single" w:sz="4" w:space="0" w:color="auto"/>
            </w:tcBorders>
          </w:tcPr>
          <w:p w14:paraId="6D851635" w14:textId="77777777" w:rsidR="00341677" w:rsidRPr="00E603B8" w:rsidRDefault="00341677" w:rsidP="00D90C0A">
            <w:pPr>
              <w:pStyle w:val="NormaleWeb"/>
              <w:spacing w:before="0" w:beforeAutospacing="0" w:after="120" w:afterAutospacing="0"/>
              <w:jc w:val="both"/>
              <w:rPr>
                <w:color w:val="FF0000"/>
                <w:sz w:val="21"/>
                <w:szCs w:val="21"/>
              </w:rPr>
            </w:pPr>
          </w:p>
        </w:tc>
      </w:tr>
      <w:tr w:rsidR="00E603B8" w:rsidRPr="00E603B8" w14:paraId="4BABBBB2" w14:textId="77777777" w:rsidTr="00341677">
        <w:tc>
          <w:tcPr>
            <w:tcW w:w="9889" w:type="dxa"/>
            <w:tcBorders>
              <w:top w:val="single" w:sz="4" w:space="0" w:color="auto"/>
              <w:left w:val="single" w:sz="4" w:space="0" w:color="auto"/>
              <w:bottom w:val="single" w:sz="4" w:space="0" w:color="auto"/>
              <w:right w:val="single" w:sz="4" w:space="0" w:color="auto"/>
            </w:tcBorders>
            <w:hideMark/>
          </w:tcPr>
          <w:p w14:paraId="34AF7F19" w14:textId="77777777" w:rsidR="00341677" w:rsidRPr="00E603B8" w:rsidRDefault="00341677" w:rsidP="00D90C0A">
            <w:pPr>
              <w:pStyle w:val="NormaleWeb"/>
              <w:spacing w:before="0" w:beforeAutospacing="0" w:after="120" w:afterAutospacing="0"/>
              <w:jc w:val="both"/>
              <w:rPr>
                <w:color w:val="FF0000"/>
                <w:sz w:val="21"/>
                <w:szCs w:val="21"/>
              </w:rPr>
            </w:pPr>
            <w:r w:rsidRPr="00E603B8">
              <w:rPr>
                <w:color w:val="FF0000"/>
              </w:rPr>
              <w:t>AZIENDA SANITARIA PRESSO CUI SI SVOLGERÀ L’ATTIVITÀ</w:t>
            </w:r>
          </w:p>
        </w:tc>
      </w:tr>
      <w:tr w:rsidR="00341677" w14:paraId="0FA91781" w14:textId="77777777" w:rsidTr="00341677">
        <w:tc>
          <w:tcPr>
            <w:tcW w:w="9889" w:type="dxa"/>
            <w:tcBorders>
              <w:top w:val="single" w:sz="4" w:space="0" w:color="auto"/>
              <w:left w:val="single" w:sz="4" w:space="0" w:color="auto"/>
              <w:bottom w:val="single" w:sz="4" w:space="0" w:color="auto"/>
              <w:right w:val="single" w:sz="4" w:space="0" w:color="auto"/>
            </w:tcBorders>
          </w:tcPr>
          <w:p w14:paraId="164C7ECC" w14:textId="77777777" w:rsidR="00341677" w:rsidRDefault="00341677" w:rsidP="00D90C0A">
            <w:pPr>
              <w:pStyle w:val="NormaleWeb"/>
              <w:spacing w:before="0" w:beforeAutospacing="0" w:after="120" w:afterAutospacing="0"/>
              <w:jc w:val="both"/>
              <w:rPr>
                <w:sz w:val="21"/>
                <w:szCs w:val="21"/>
              </w:rPr>
            </w:pPr>
          </w:p>
        </w:tc>
      </w:tr>
    </w:tbl>
    <w:p w14:paraId="64F75699" w14:textId="77777777" w:rsidR="008F7FAD" w:rsidRDefault="008F7FAD" w:rsidP="008F7FAD">
      <w:pPr>
        <w:jc w:val="both"/>
      </w:pPr>
      <w:r w:rsidRPr="00946994">
        <w:t xml:space="preserve">Si ricorda che, come previsto dagli Accordi sull’impiego nell’attività assistenziale dei Titolari di assegni di ricerca, sottoscritti tra l’Università di Bologna e le Aziende Ospedaliere di riferimento, una volta stipulato il contratto con il vincitore della selezione, </w:t>
      </w:r>
      <w:r w:rsidRPr="00460601">
        <w:t>il tutor deve</w:t>
      </w:r>
      <w:r w:rsidRPr="00946994">
        <w:t xml:space="preserve"> consegnare alla Direzione Medica Ospedaliera la relativa modulistica, nella quale andranno riportate le attività qui segnalate.</w:t>
      </w:r>
    </w:p>
    <w:p w14:paraId="7FC22842" w14:textId="77777777" w:rsidR="00984211" w:rsidRDefault="00984211" w:rsidP="008F7FAD">
      <w:pPr>
        <w:jc w:val="both"/>
      </w:pPr>
    </w:p>
    <w:p w14:paraId="568F75C5" w14:textId="77777777" w:rsidR="00984211" w:rsidRDefault="00984211" w:rsidP="008F7FAD">
      <w:pPr>
        <w:jc w:val="both"/>
      </w:pPr>
    </w:p>
    <w:p w14:paraId="58A5E1E7" w14:textId="77777777" w:rsidR="00984211" w:rsidRPr="00C757B5" w:rsidRDefault="00984211" w:rsidP="008F7FAD">
      <w:pPr>
        <w:jc w:val="both"/>
        <w:rPr>
          <w:rFonts w:ascii="Trajan" w:hAnsi="Trajan"/>
        </w:rPr>
      </w:pPr>
    </w:p>
    <w:sectPr w:rsidR="00984211" w:rsidRPr="00C757B5" w:rsidSect="00BE1C84">
      <w:headerReference w:type="default" r:id="rId8"/>
      <w:footerReference w:type="default" r:id="rId9"/>
      <w:pgSz w:w="11906" w:h="16838"/>
      <w:pgMar w:top="1134" w:right="1134" w:bottom="567" w:left="1134" w:header="357"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AF0B4" w14:textId="77777777" w:rsidR="00224569" w:rsidRDefault="00224569">
      <w:r>
        <w:separator/>
      </w:r>
    </w:p>
  </w:endnote>
  <w:endnote w:type="continuationSeparator" w:id="0">
    <w:p w14:paraId="39D646E3" w14:textId="77777777" w:rsidR="00224569" w:rsidRDefault="0022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ajan">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16772" w14:textId="77777777" w:rsidR="00224569" w:rsidRPr="008A26FE" w:rsidRDefault="00224569" w:rsidP="00CB5C37">
    <w:pPr>
      <w:pStyle w:val="Pidipagina"/>
      <w:tabs>
        <w:tab w:val="clear" w:pos="9638"/>
        <w:tab w:val="right" w:pos="10065"/>
      </w:tabs>
      <w:ind w:left="-284" w:right="-285"/>
      <w:jc w:val="center"/>
      <w:rPr>
        <w:rFonts w:ascii="Garamond" w:hAnsi="Garamond"/>
        <w:smallCaps/>
        <w:sz w:val="20"/>
        <w:szCs w:val="20"/>
      </w:rPr>
    </w:pPr>
    <w:r w:rsidRPr="008A26FE">
      <w:rPr>
        <w:rFonts w:ascii="Garamond" w:hAnsi="Garamond"/>
        <w:smallCaps/>
        <w:sz w:val="20"/>
        <w:szCs w:val="20"/>
      </w:rPr>
      <w:t>ALMA MATER STUDIORUM - UNIVERSIT</w:t>
    </w:r>
    <w:r w:rsidRPr="008A26FE">
      <w:rPr>
        <w:rFonts w:ascii="Garamond" w:eastAsia="Arial Unicode MS" w:hAnsi="Garamond"/>
        <w:smallCaps/>
        <w:sz w:val="20"/>
        <w:szCs w:val="20"/>
      </w:rPr>
      <w:t>À</w:t>
    </w:r>
    <w:r w:rsidRPr="008A26FE">
      <w:rPr>
        <w:rFonts w:ascii="Garamond" w:hAnsi="Garamond"/>
        <w:smallCaps/>
        <w:sz w:val="20"/>
        <w:szCs w:val="20"/>
      </w:rPr>
      <w:t xml:space="preserve"> DI BOLOGNA</w:t>
    </w:r>
  </w:p>
  <w:p w14:paraId="428A76E0" w14:textId="77777777" w:rsidR="00224569" w:rsidRDefault="00224569" w:rsidP="00CB5C37">
    <w:pPr>
      <w:pStyle w:val="Pidipagina"/>
      <w:tabs>
        <w:tab w:val="clear" w:pos="9638"/>
        <w:tab w:val="right" w:pos="10065"/>
      </w:tabs>
      <w:ind w:left="-284" w:right="-285"/>
      <w:jc w:val="center"/>
      <w:rPr>
        <w:rFonts w:ascii="Garamond" w:hAnsi="Garamond"/>
        <w:caps/>
        <w:sz w:val="16"/>
        <w:szCs w:val="16"/>
      </w:rPr>
    </w:pPr>
    <w:r>
      <w:rPr>
        <w:rFonts w:ascii="Garamond" w:hAnsi="Garamond"/>
        <w:caps/>
        <w:sz w:val="16"/>
        <w:szCs w:val="16"/>
      </w:rPr>
      <w:t>SEDE AMMINISTRATIVA C/O AZIENDA OSPEDALIERO-UNIVERSITARIA – POLICLINICO S. ORSOLA–MALPIGHI</w:t>
    </w:r>
  </w:p>
  <w:p w14:paraId="54FF4FE2" w14:textId="77777777" w:rsidR="00224569" w:rsidRPr="00CB5C37" w:rsidRDefault="00224569" w:rsidP="00CB5C37">
    <w:pPr>
      <w:pStyle w:val="Pidipagina"/>
      <w:tabs>
        <w:tab w:val="clear" w:pos="9638"/>
        <w:tab w:val="right" w:pos="10065"/>
      </w:tabs>
      <w:ind w:left="-284" w:right="-285"/>
      <w:jc w:val="center"/>
      <w:rPr>
        <w:szCs w:val="16"/>
      </w:rPr>
    </w:pPr>
    <w:r w:rsidRPr="008A26FE">
      <w:rPr>
        <w:rFonts w:ascii="Garamond" w:hAnsi="Garamond"/>
        <w:caps/>
        <w:sz w:val="16"/>
        <w:szCs w:val="16"/>
      </w:rPr>
      <w:t>Via</w:t>
    </w:r>
    <w:r>
      <w:rPr>
        <w:rFonts w:ascii="Garamond" w:hAnsi="Garamond"/>
        <w:caps/>
        <w:sz w:val="16"/>
        <w:szCs w:val="16"/>
      </w:rPr>
      <w:t xml:space="preserve"> MASSARENTI 9, PADIGLIONE 11</w:t>
    </w:r>
    <w:r w:rsidRPr="008A26FE">
      <w:rPr>
        <w:rFonts w:ascii="Garamond" w:hAnsi="Garamond"/>
        <w:caps/>
        <w:sz w:val="16"/>
        <w:szCs w:val="16"/>
      </w:rPr>
      <w:t xml:space="preserve"> </w:t>
    </w:r>
    <w:r>
      <w:rPr>
        <w:rFonts w:ascii="Garamond" w:hAnsi="Garamond"/>
        <w:caps/>
        <w:sz w:val="16"/>
        <w:szCs w:val="16"/>
      </w:rPr>
      <w:t xml:space="preserve">- </w:t>
    </w:r>
    <w:r w:rsidRPr="008A26FE">
      <w:rPr>
        <w:rFonts w:ascii="Garamond" w:hAnsi="Garamond"/>
        <w:caps/>
        <w:sz w:val="16"/>
        <w:szCs w:val="16"/>
      </w:rPr>
      <w:t>401</w:t>
    </w:r>
    <w:r>
      <w:rPr>
        <w:rFonts w:ascii="Garamond" w:hAnsi="Garamond"/>
        <w:caps/>
        <w:sz w:val="16"/>
        <w:szCs w:val="16"/>
      </w:rPr>
      <w:t>38 Bologna - Italia –</w:t>
    </w:r>
    <w:r w:rsidRPr="008A26FE">
      <w:rPr>
        <w:rFonts w:ascii="Garamond" w:hAnsi="Garamond"/>
        <w:caps/>
        <w:sz w:val="16"/>
        <w:szCs w:val="16"/>
      </w:rPr>
      <w:t xml:space="preserve"> </w:t>
    </w:r>
    <w:hyperlink r:id="rId1" w:history="1">
      <w:r w:rsidRPr="0017512C">
        <w:rPr>
          <w:rStyle w:val="Collegamentoipertestuale"/>
          <w:rFonts w:ascii="Garamond" w:hAnsi="Garamond"/>
          <w:sz w:val="20"/>
          <w:szCs w:val="20"/>
        </w:rPr>
        <w:t>dimec.dipartimento@pec.unibo.it</w:t>
      </w:r>
    </w:hyperlink>
    <w:r w:rsidRPr="00C05A72">
      <w:rPr>
        <w:rFonts w:ascii="Garamond" w:hAnsi="Garamond"/>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0B0C7" w14:textId="77777777" w:rsidR="00224569" w:rsidRDefault="00224569">
      <w:r>
        <w:separator/>
      </w:r>
    </w:p>
  </w:footnote>
  <w:footnote w:type="continuationSeparator" w:id="0">
    <w:p w14:paraId="696006DA" w14:textId="77777777" w:rsidR="00224569" w:rsidRDefault="00224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9A407" w14:textId="682A051D" w:rsidR="00224569" w:rsidRDefault="00224569" w:rsidP="002A0F0A">
    <w:pPr>
      <w:pStyle w:val="Intestazione"/>
      <w:jc w:val="center"/>
    </w:pPr>
    <w:r>
      <w:rPr>
        <w:noProof/>
      </w:rPr>
      <w:drawing>
        <wp:inline distT="0" distB="0" distL="0" distR="0" wp14:anchorId="6C880F6C" wp14:editId="1ED4E38B">
          <wp:extent cx="4057650" cy="152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47DC"/>
    <w:multiLevelType w:val="singleLevel"/>
    <w:tmpl w:val="EB5228E6"/>
    <w:lvl w:ilvl="0">
      <w:start w:val="1"/>
      <w:numFmt w:val="lowerLetter"/>
      <w:lvlText w:val="%1)"/>
      <w:lvlJc w:val="left"/>
      <w:pPr>
        <w:tabs>
          <w:tab w:val="num" w:pos="360"/>
        </w:tabs>
        <w:ind w:left="360" w:hanging="360"/>
      </w:pPr>
      <w:rPr>
        <w:rFonts w:hint="default"/>
      </w:rPr>
    </w:lvl>
  </w:abstractNum>
  <w:abstractNum w:abstractNumId="1">
    <w:nsid w:val="19057A91"/>
    <w:multiLevelType w:val="hybridMultilevel"/>
    <w:tmpl w:val="A2FA02C8"/>
    <w:lvl w:ilvl="0" w:tplc="0410000F">
      <w:start w:val="1"/>
      <w:numFmt w:val="decimal"/>
      <w:lvlText w:val="%1."/>
      <w:lvlJc w:val="left"/>
      <w:pPr>
        <w:ind w:left="720" w:hanging="360"/>
      </w:pPr>
      <w:rPr>
        <w:rFonts w:hint="default"/>
      </w:rPr>
    </w:lvl>
    <w:lvl w:ilvl="1" w:tplc="0676274A">
      <w:start w:val="2"/>
      <w:numFmt w:val="bullet"/>
      <w:lvlText w:val="•"/>
      <w:lvlJc w:val="left"/>
      <w:pPr>
        <w:ind w:left="1800" w:hanging="72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D163CB"/>
    <w:multiLevelType w:val="hybridMultilevel"/>
    <w:tmpl w:val="8416BFD0"/>
    <w:lvl w:ilvl="0" w:tplc="2B3847F2">
      <w:start w:val="1"/>
      <w:numFmt w:val="decimal"/>
      <w:lvlText w:val="%1."/>
      <w:lvlJc w:val="left"/>
      <w:pPr>
        <w:tabs>
          <w:tab w:val="num" w:pos="360"/>
        </w:tabs>
        <w:ind w:left="360" w:hanging="360"/>
      </w:pPr>
      <w:rPr>
        <w:strike w:val="0"/>
        <w:color w:val="auto"/>
      </w:r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nsid w:val="2144601A"/>
    <w:multiLevelType w:val="hybridMultilevel"/>
    <w:tmpl w:val="495A6C50"/>
    <w:lvl w:ilvl="0" w:tplc="349A685A">
      <w:start w:val="1"/>
      <w:numFmt w:val="upperLetter"/>
      <w:lvlText w:val="%1)"/>
      <w:lvlJc w:val="left"/>
      <w:pPr>
        <w:tabs>
          <w:tab w:val="num" w:pos="1440"/>
        </w:tabs>
        <w:ind w:left="1440" w:hanging="360"/>
      </w:pPr>
      <w:rPr>
        <w:rFonts w:hint="default"/>
      </w:rPr>
    </w:lvl>
    <w:lvl w:ilvl="1" w:tplc="1F848D22">
      <w:start w:val="1"/>
      <w:numFmt w:val="bullet"/>
      <w:lvlText w:val="-"/>
      <w:lvlJc w:val="left"/>
      <w:pPr>
        <w:tabs>
          <w:tab w:val="num" w:pos="2160"/>
        </w:tabs>
        <w:ind w:left="2160" w:hanging="360"/>
      </w:pPr>
      <w:rPr>
        <w:rFonts w:ascii="Arial" w:eastAsia="Times New Roman" w:hAnsi="Arial" w:cs="Arial" w:hint="default"/>
      </w:rPr>
    </w:lvl>
    <w:lvl w:ilvl="2" w:tplc="CADA8916">
      <w:start w:val="4"/>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4">
    <w:nsid w:val="27D8511B"/>
    <w:multiLevelType w:val="hybridMultilevel"/>
    <w:tmpl w:val="50680440"/>
    <w:lvl w:ilvl="0" w:tplc="6E6CB3D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C8649CE"/>
    <w:multiLevelType w:val="hybridMultilevel"/>
    <w:tmpl w:val="495A6C50"/>
    <w:lvl w:ilvl="0" w:tplc="349A685A">
      <w:start w:val="1"/>
      <w:numFmt w:val="upperLetter"/>
      <w:lvlText w:val="%1)"/>
      <w:lvlJc w:val="left"/>
      <w:pPr>
        <w:tabs>
          <w:tab w:val="num" w:pos="1440"/>
        </w:tabs>
        <w:ind w:left="1440" w:hanging="360"/>
      </w:pPr>
      <w:rPr>
        <w:rFonts w:hint="default"/>
      </w:rPr>
    </w:lvl>
    <w:lvl w:ilvl="1" w:tplc="1F848D22">
      <w:start w:val="1"/>
      <w:numFmt w:val="bullet"/>
      <w:lvlText w:val="-"/>
      <w:lvlJc w:val="left"/>
      <w:pPr>
        <w:tabs>
          <w:tab w:val="num" w:pos="2160"/>
        </w:tabs>
        <w:ind w:left="2160" w:hanging="360"/>
      </w:pPr>
      <w:rPr>
        <w:rFonts w:ascii="Arial" w:eastAsia="Times New Roman" w:hAnsi="Arial" w:cs="Arial" w:hint="default"/>
      </w:rPr>
    </w:lvl>
    <w:lvl w:ilvl="2" w:tplc="CADA8916">
      <w:start w:val="4"/>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6">
    <w:nsid w:val="32C14CF1"/>
    <w:multiLevelType w:val="hybridMultilevel"/>
    <w:tmpl w:val="0068F3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70C6730"/>
    <w:multiLevelType w:val="hybridMultilevel"/>
    <w:tmpl w:val="887EAD4E"/>
    <w:lvl w:ilvl="0" w:tplc="A13CFB76">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8">
    <w:nsid w:val="52BB2058"/>
    <w:multiLevelType w:val="hybridMultilevel"/>
    <w:tmpl w:val="E8F0DA3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55492921"/>
    <w:multiLevelType w:val="hybridMultilevel"/>
    <w:tmpl w:val="354AB89A"/>
    <w:lvl w:ilvl="0" w:tplc="03C84D08">
      <w:start w:val="3"/>
      <w:numFmt w:val="decimal"/>
      <w:lvlText w:val="%1."/>
      <w:lvlJc w:val="left"/>
      <w:pPr>
        <w:tabs>
          <w:tab w:val="num" w:pos="360"/>
        </w:tabs>
        <w:ind w:left="360" w:hanging="360"/>
      </w:pPr>
      <w:rPr>
        <w:rFonts w:hint="default"/>
      </w:r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D773A9F"/>
    <w:multiLevelType w:val="hybridMultilevel"/>
    <w:tmpl w:val="CECE3EAC"/>
    <w:lvl w:ilvl="0" w:tplc="228A8898">
      <w:start w:val="2"/>
      <w:numFmt w:val="bullet"/>
      <w:lvlText w:val="-"/>
      <w:lvlJc w:val="left"/>
      <w:pPr>
        <w:tabs>
          <w:tab w:val="num" w:pos="1572"/>
        </w:tabs>
        <w:ind w:left="1572" w:hanging="864"/>
      </w:pPr>
      <w:rPr>
        <w:rFonts w:ascii="Calibri" w:eastAsia="Times New Roman" w:hAnsi="Calibri"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2">
    <w:nsid w:val="7C7F74DA"/>
    <w:multiLevelType w:val="hybridMultilevel"/>
    <w:tmpl w:val="57F488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0"/>
  </w:num>
  <w:num w:numId="4">
    <w:abstractNumId w:val="7"/>
  </w:num>
  <w:num w:numId="5">
    <w:abstractNumId w:val="2"/>
  </w:num>
  <w:num w:numId="6">
    <w:abstractNumId w:val="6"/>
  </w:num>
  <w:num w:numId="7">
    <w:abstractNumId w:val="8"/>
  </w:num>
  <w:num w:numId="8">
    <w:abstractNumId w:val="3"/>
  </w:num>
  <w:num w:numId="9">
    <w:abstractNumId w:val="12"/>
  </w:num>
  <w:num w:numId="10">
    <w:abstractNumId w:val="11"/>
  </w:num>
  <w:num w:numId="11">
    <w:abstractNumId w:val="9"/>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0A"/>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2630"/>
    <w:rsid w:val="0005379F"/>
    <w:rsid w:val="00054F9D"/>
    <w:rsid w:val="00056F8C"/>
    <w:rsid w:val="0005744F"/>
    <w:rsid w:val="00060F13"/>
    <w:rsid w:val="0006159F"/>
    <w:rsid w:val="000627C5"/>
    <w:rsid w:val="00062CD8"/>
    <w:rsid w:val="000638A4"/>
    <w:rsid w:val="00063CCE"/>
    <w:rsid w:val="0006451B"/>
    <w:rsid w:val="000649E3"/>
    <w:rsid w:val="00065195"/>
    <w:rsid w:val="00065DE4"/>
    <w:rsid w:val="00067DC5"/>
    <w:rsid w:val="00070B79"/>
    <w:rsid w:val="00071338"/>
    <w:rsid w:val="00072AEC"/>
    <w:rsid w:val="00072B7E"/>
    <w:rsid w:val="00073451"/>
    <w:rsid w:val="000734FA"/>
    <w:rsid w:val="00073876"/>
    <w:rsid w:val="00073F51"/>
    <w:rsid w:val="000749C3"/>
    <w:rsid w:val="0007533F"/>
    <w:rsid w:val="00075FFE"/>
    <w:rsid w:val="000771B7"/>
    <w:rsid w:val="00077BC6"/>
    <w:rsid w:val="00080E93"/>
    <w:rsid w:val="000810DE"/>
    <w:rsid w:val="00081E6F"/>
    <w:rsid w:val="00082178"/>
    <w:rsid w:val="00082A05"/>
    <w:rsid w:val="00083600"/>
    <w:rsid w:val="00083E21"/>
    <w:rsid w:val="0008456A"/>
    <w:rsid w:val="00085ABA"/>
    <w:rsid w:val="00086B44"/>
    <w:rsid w:val="000870AA"/>
    <w:rsid w:val="00087DAB"/>
    <w:rsid w:val="00090823"/>
    <w:rsid w:val="0009143D"/>
    <w:rsid w:val="00091ED9"/>
    <w:rsid w:val="00091FF9"/>
    <w:rsid w:val="00092817"/>
    <w:rsid w:val="00092BE0"/>
    <w:rsid w:val="00093F22"/>
    <w:rsid w:val="00093F28"/>
    <w:rsid w:val="00094BAA"/>
    <w:rsid w:val="00094FEE"/>
    <w:rsid w:val="000955ED"/>
    <w:rsid w:val="00095CCB"/>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4A04"/>
    <w:rsid w:val="001250DC"/>
    <w:rsid w:val="00126819"/>
    <w:rsid w:val="00126A5B"/>
    <w:rsid w:val="00130867"/>
    <w:rsid w:val="0013129B"/>
    <w:rsid w:val="00131662"/>
    <w:rsid w:val="00132368"/>
    <w:rsid w:val="00133151"/>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F1C"/>
    <w:rsid w:val="001A7522"/>
    <w:rsid w:val="001A7FB9"/>
    <w:rsid w:val="001B1E5D"/>
    <w:rsid w:val="001B2A39"/>
    <w:rsid w:val="001B32FC"/>
    <w:rsid w:val="001B3594"/>
    <w:rsid w:val="001B3653"/>
    <w:rsid w:val="001B42F4"/>
    <w:rsid w:val="001B438A"/>
    <w:rsid w:val="001B4C22"/>
    <w:rsid w:val="001B5D0F"/>
    <w:rsid w:val="001B5EC4"/>
    <w:rsid w:val="001B6B01"/>
    <w:rsid w:val="001B721D"/>
    <w:rsid w:val="001C090D"/>
    <w:rsid w:val="001C1689"/>
    <w:rsid w:val="001C1FEE"/>
    <w:rsid w:val="001C3133"/>
    <w:rsid w:val="001C431B"/>
    <w:rsid w:val="001C443F"/>
    <w:rsid w:val="001C44A0"/>
    <w:rsid w:val="001C7B74"/>
    <w:rsid w:val="001D0677"/>
    <w:rsid w:val="001D2197"/>
    <w:rsid w:val="001D2232"/>
    <w:rsid w:val="001D2934"/>
    <w:rsid w:val="001D4107"/>
    <w:rsid w:val="001D4403"/>
    <w:rsid w:val="001D448F"/>
    <w:rsid w:val="001D460A"/>
    <w:rsid w:val="001D46CD"/>
    <w:rsid w:val="001D4AE7"/>
    <w:rsid w:val="001D5749"/>
    <w:rsid w:val="001D66DD"/>
    <w:rsid w:val="001D6DC9"/>
    <w:rsid w:val="001D714C"/>
    <w:rsid w:val="001E0796"/>
    <w:rsid w:val="001E1BEC"/>
    <w:rsid w:val="001E2BDC"/>
    <w:rsid w:val="001E3271"/>
    <w:rsid w:val="001E3853"/>
    <w:rsid w:val="001E446A"/>
    <w:rsid w:val="001E5DE6"/>
    <w:rsid w:val="001E6ADD"/>
    <w:rsid w:val="001F03AC"/>
    <w:rsid w:val="001F13E2"/>
    <w:rsid w:val="001F14B5"/>
    <w:rsid w:val="001F18E4"/>
    <w:rsid w:val="001F202B"/>
    <w:rsid w:val="001F2664"/>
    <w:rsid w:val="001F2910"/>
    <w:rsid w:val="001F2CCB"/>
    <w:rsid w:val="001F34E0"/>
    <w:rsid w:val="001F3EF5"/>
    <w:rsid w:val="001F4118"/>
    <w:rsid w:val="001F41A0"/>
    <w:rsid w:val="001F47E7"/>
    <w:rsid w:val="001F49E4"/>
    <w:rsid w:val="001F4BC9"/>
    <w:rsid w:val="001F4D71"/>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1759"/>
    <w:rsid w:val="00212134"/>
    <w:rsid w:val="002128FF"/>
    <w:rsid w:val="002129D3"/>
    <w:rsid w:val="00213253"/>
    <w:rsid w:val="00213778"/>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569"/>
    <w:rsid w:val="00224D0E"/>
    <w:rsid w:val="00224FDF"/>
    <w:rsid w:val="00225ACC"/>
    <w:rsid w:val="0022608A"/>
    <w:rsid w:val="00226251"/>
    <w:rsid w:val="002265F8"/>
    <w:rsid w:val="00226A1E"/>
    <w:rsid w:val="00227051"/>
    <w:rsid w:val="002275A5"/>
    <w:rsid w:val="00227D35"/>
    <w:rsid w:val="00231356"/>
    <w:rsid w:val="00232299"/>
    <w:rsid w:val="00232423"/>
    <w:rsid w:val="00232917"/>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295"/>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0D76"/>
    <w:rsid w:val="00261546"/>
    <w:rsid w:val="00261956"/>
    <w:rsid w:val="00263B5D"/>
    <w:rsid w:val="002641AC"/>
    <w:rsid w:val="00264F5E"/>
    <w:rsid w:val="00265254"/>
    <w:rsid w:val="00265F28"/>
    <w:rsid w:val="00266165"/>
    <w:rsid w:val="0026653B"/>
    <w:rsid w:val="002665EE"/>
    <w:rsid w:val="00266853"/>
    <w:rsid w:val="002719FC"/>
    <w:rsid w:val="00271FC8"/>
    <w:rsid w:val="0027213F"/>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228A"/>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A7F88"/>
    <w:rsid w:val="002B0DB8"/>
    <w:rsid w:val="002B1CB9"/>
    <w:rsid w:val="002B2784"/>
    <w:rsid w:val="002B2E7B"/>
    <w:rsid w:val="002B3409"/>
    <w:rsid w:val="002B3D74"/>
    <w:rsid w:val="002B44CE"/>
    <w:rsid w:val="002B4697"/>
    <w:rsid w:val="002B530A"/>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6FA4"/>
    <w:rsid w:val="002C70B6"/>
    <w:rsid w:val="002C7805"/>
    <w:rsid w:val="002D02D6"/>
    <w:rsid w:val="002D07E0"/>
    <w:rsid w:val="002D0E76"/>
    <w:rsid w:val="002D12D8"/>
    <w:rsid w:val="002D31EC"/>
    <w:rsid w:val="002D3220"/>
    <w:rsid w:val="002D33FD"/>
    <w:rsid w:val="002D4540"/>
    <w:rsid w:val="002D4784"/>
    <w:rsid w:val="002D5633"/>
    <w:rsid w:val="002D5DEA"/>
    <w:rsid w:val="002D6A19"/>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153"/>
    <w:rsid w:val="002F3E6D"/>
    <w:rsid w:val="002F5C4C"/>
    <w:rsid w:val="002F6720"/>
    <w:rsid w:val="002F68AB"/>
    <w:rsid w:val="002F6DD5"/>
    <w:rsid w:val="002F7C37"/>
    <w:rsid w:val="003007B2"/>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C9F"/>
    <w:rsid w:val="00326020"/>
    <w:rsid w:val="003268A4"/>
    <w:rsid w:val="00326C24"/>
    <w:rsid w:val="003274B2"/>
    <w:rsid w:val="003278F4"/>
    <w:rsid w:val="00327A24"/>
    <w:rsid w:val="00330F59"/>
    <w:rsid w:val="003315FA"/>
    <w:rsid w:val="003317C9"/>
    <w:rsid w:val="00333699"/>
    <w:rsid w:val="00333C24"/>
    <w:rsid w:val="0033431F"/>
    <w:rsid w:val="003359CA"/>
    <w:rsid w:val="00335B9A"/>
    <w:rsid w:val="00336045"/>
    <w:rsid w:val="003362B5"/>
    <w:rsid w:val="00340C4F"/>
    <w:rsid w:val="00340FA7"/>
    <w:rsid w:val="003413E6"/>
    <w:rsid w:val="0034164E"/>
    <w:rsid w:val="00341677"/>
    <w:rsid w:val="00342D06"/>
    <w:rsid w:val="00343A82"/>
    <w:rsid w:val="003444BB"/>
    <w:rsid w:val="00344619"/>
    <w:rsid w:val="00344AD0"/>
    <w:rsid w:val="00345C82"/>
    <w:rsid w:val="00345DF7"/>
    <w:rsid w:val="00345E12"/>
    <w:rsid w:val="0034693D"/>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1BF4"/>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2B"/>
    <w:rsid w:val="003D7A4C"/>
    <w:rsid w:val="003E078B"/>
    <w:rsid w:val="003E0D7C"/>
    <w:rsid w:val="003E0F4C"/>
    <w:rsid w:val="003E2008"/>
    <w:rsid w:val="003E2587"/>
    <w:rsid w:val="003E31C9"/>
    <w:rsid w:val="003E36B9"/>
    <w:rsid w:val="003E64DE"/>
    <w:rsid w:val="003E66C1"/>
    <w:rsid w:val="003E6B7C"/>
    <w:rsid w:val="003F0641"/>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60D0"/>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579B0"/>
    <w:rsid w:val="00460601"/>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52F"/>
    <w:rsid w:val="00484ED9"/>
    <w:rsid w:val="00484FF2"/>
    <w:rsid w:val="004868FB"/>
    <w:rsid w:val="00486C74"/>
    <w:rsid w:val="00487DC8"/>
    <w:rsid w:val="0049084C"/>
    <w:rsid w:val="0049162F"/>
    <w:rsid w:val="004925E5"/>
    <w:rsid w:val="00492A7C"/>
    <w:rsid w:val="00492A84"/>
    <w:rsid w:val="00493886"/>
    <w:rsid w:val="004947C5"/>
    <w:rsid w:val="004962A2"/>
    <w:rsid w:val="004A0772"/>
    <w:rsid w:val="004A0932"/>
    <w:rsid w:val="004A0F3B"/>
    <w:rsid w:val="004A2876"/>
    <w:rsid w:val="004A373F"/>
    <w:rsid w:val="004A3F47"/>
    <w:rsid w:val="004A5824"/>
    <w:rsid w:val="004A5CCA"/>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39E"/>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48E"/>
    <w:rsid w:val="004E568D"/>
    <w:rsid w:val="004E5F02"/>
    <w:rsid w:val="004E7E7B"/>
    <w:rsid w:val="004F0180"/>
    <w:rsid w:val="004F0286"/>
    <w:rsid w:val="004F2E86"/>
    <w:rsid w:val="004F3C6E"/>
    <w:rsid w:val="004F3D1E"/>
    <w:rsid w:val="004F77BA"/>
    <w:rsid w:val="00500158"/>
    <w:rsid w:val="00500928"/>
    <w:rsid w:val="00500E78"/>
    <w:rsid w:val="0050255B"/>
    <w:rsid w:val="00502A48"/>
    <w:rsid w:val="00503A4B"/>
    <w:rsid w:val="00505438"/>
    <w:rsid w:val="005054E3"/>
    <w:rsid w:val="005061F9"/>
    <w:rsid w:val="0050678C"/>
    <w:rsid w:val="00506CF8"/>
    <w:rsid w:val="00507027"/>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43C"/>
    <w:rsid w:val="00523681"/>
    <w:rsid w:val="00523C5D"/>
    <w:rsid w:val="005240B1"/>
    <w:rsid w:val="00524AAD"/>
    <w:rsid w:val="00525E01"/>
    <w:rsid w:val="00526574"/>
    <w:rsid w:val="00527055"/>
    <w:rsid w:val="00527C95"/>
    <w:rsid w:val="00532193"/>
    <w:rsid w:val="00532D1F"/>
    <w:rsid w:val="00534200"/>
    <w:rsid w:val="00534263"/>
    <w:rsid w:val="005342EC"/>
    <w:rsid w:val="0053485D"/>
    <w:rsid w:val="00534BA9"/>
    <w:rsid w:val="00536902"/>
    <w:rsid w:val="00536A74"/>
    <w:rsid w:val="00537D44"/>
    <w:rsid w:val="00540FA9"/>
    <w:rsid w:val="005421EA"/>
    <w:rsid w:val="005422E7"/>
    <w:rsid w:val="00542CF2"/>
    <w:rsid w:val="00542F47"/>
    <w:rsid w:val="005435B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32E"/>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1B8"/>
    <w:rsid w:val="005773E5"/>
    <w:rsid w:val="005775D8"/>
    <w:rsid w:val="00581337"/>
    <w:rsid w:val="005817C4"/>
    <w:rsid w:val="00581C2B"/>
    <w:rsid w:val="00582422"/>
    <w:rsid w:val="00582B26"/>
    <w:rsid w:val="00582E16"/>
    <w:rsid w:val="0058343C"/>
    <w:rsid w:val="005837B9"/>
    <w:rsid w:val="0058463B"/>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0880"/>
    <w:rsid w:val="005C15A3"/>
    <w:rsid w:val="005C230E"/>
    <w:rsid w:val="005C275A"/>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C7E1A"/>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95B"/>
    <w:rsid w:val="005E2A47"/>
    <w:rsid w:val="005E2A7E"/>
    <w:rsid w:val="005E4170"/>
    <w:rsid w:val="005E51AA"/>
    <w:rsid w:val="005E689C"/>
    <w:rsid w:val="005F16F1"/>
    <w:rsid w:val="005F23F1"/>
    <w:rsid w:val="005F2934"/>
    <w:rsid w:val="005F3899"/>
    <w:rsid w:val="005F3F7A"/>
    <w:rsid w:val="005F4104"/>
    <w:rsid w:val="005F54F9"/>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691"/>
    <w:rsid w:val="00621EE9"/>
    <w:rsid w:val="00622814"/>
    <w:rsid w:val="00624277"/>
    <w:rsid w:val="00624BE7"/>
    <w:rsid w:val="00626B73"/>
    <w:rsid w:val="00626BDF"/>
    <w:rsid w:val="00626DA1"/>
    <w:rsid w:val="0062701B"/>
    <w:rsid w:val="00627682"/>
    <w:rsid w:val="0062772E"/>
    <w:rsid w:val="00630CE5"/>
    <w:rsid w:val="00631A71"/>
    <w:rsid w:val="00633B3E"/>
    <w:rsid w:val="00634541"/>
    <w:rsid w:val="00634F69"/>
    <w:rsid w:val="00635875"/>
    <w:rsid w:val="006360AB"/>
    <w:rsid w:val="006362A6"/>
    <w:rsid w:val="006366D3"/>
    <w:rsid w:val="006367AF"/>
    <w:rsid w:val="00636F77"/>
    <w:rsid w:val="00637CFB"/>
    <w:rsid w:val="00637FBF"/>
    <w:rsid w:val="00641EA1"/>
    <w:rsid w:val="00641FF2"/>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3AC"/>
    <w:rsid w:val="006B0841"/>
    <w:rsid w:val="006B0A14"/>
    <w:rsid w:val="006B16A2"/>
    <w:rsid w:val="006B2137"/>
    <w:rsid w:val="006B3D30"/>
    <w:rsid w:val="006B4797"/>
    <w:rsid w:val="006B49E4"/>
    <w:rsid w:val="006B522F"/>
    <w:rsid w:val="006B5597"/>
    <w:rsid w:val="006B561C"/>
    <w:rsid w:val="006B5E7F"/>
    <w:rsid w:val="006B6440"/>
    <w:rsid w:val="006C0558"/>
    <w:rsid w:val="006C168F"/>
    <w:rsid w:val="006C1D1B"/>
    <w:rsid w:val="006C281C"/>
    <w:rsid w:val="006C2F44"/>
    <w:rsid w:val="006C3B78"/>
    <w:rsid w:val="006C4510"/>
    <w:rsid w:val="006C796D"/>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432B"/>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279"/>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2DF"/>
    <w:rsid w:val="00755B25"/>
    <w:rsid w:val="00755D31"/>
    <w:rsid w:val="00755DD0"/>
    <w:rsid w:val="00755EC7"/>
    <w:rsid w:val="00757204"/>
    <w:rsid w:val="00760CEC"/>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18B"/>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708"/>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4719"/>
    <w:rsid w:val="007A5BAE"/>
    <w:rsid w:val="007A6197"/>
    <w:rsid w:val="007A6B9B"/>
    <w:rsid w:val="007A7E92"/>
    <w:rsid w:val="007A7FC1"/>
    <w:rsid w:val="007B00E3"/>
    <w:rsid w:val="007B0768"/>
    <w:rsid w:val="007B0D71"/>
    <w:rsid w:val="007B18E4"/>
    <w:rsid w:val="007B1C93"/>
    <w:rsid w:val="007B26AD"/>
    <w:rsid w:val="007B2702"/>
    <w:rsid w:val="007B2B39"/>
    <w:rsid w:val="007B30C9"/>
    <w:rsid w:val="007B3900"/>
    <w:rsid w:val="007B5E99"/>
    <w:rsid w:val="007B6275"/>
    <w:rsid w:val="007B69B7"/>
    <w:rsid w:val="007B6CC5"/>
    <w:rsid w:val="007C016D"/>
    <w:rsid w:val="007C0E7B"/>
    <w:rsid w:val="007C26B9"/>
    <w:rsid w:val="007C2F59"/>
    <w:rsid w:val="007C30A4"/>
    <w:rsid w:val="007C31DF"/>
    <w:rsid w:val="007C33A9"/>
    <w:rsid w:val="007C492E"/>
    <w:rsid w:val="007C4BCD"/>
    <w:rsid w:val="007C606E"/>
    <w:rsid w:val="007C66D6"/>
    <w:rsid w:val="007C67EB"/>
    <w:rsid w:val="007C67ED"/>
    <w:rsid w:val="007C6E92"/>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3D0"/>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3AE9"/>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549"/>
    <w:rsid w:val="00826EE9"/>
    <w:rsid w:val="0082780F"/>
    <w:rsid w:val="00830E77"/>
    <w:rsid w:val="00831777"/>
    <w:rsid w:val="008327D4"/>
    <w:rsid w:val="00832C7B"/>
    <w:rsid w:val="00832D24"/>
    <w:rsid w:val="008335CA"/>
    <w:rsid w:val="0083548E"/>
    <w:rsid w:val="0083559D"/>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28C"/>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98"/>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46B"/>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795B"/>
    <w:rsid w:val="008F7FAD"/>
    <w:rsid w:val="00900339"/>
    <w:rsid w:val="00900959"/>
    <w:rsid w:val="00901323"/>
    <w:rsid w:val="009017EC"/>
    <w:rsid w:val="00901D60"/>
    <w:rsid w:val="00901E79"/>
    <w:rsid w:val="0090260F"/>
    <w:rsid w:val="00902B83"/>
    <w:rsid w:val="00903454"/>
    <w:rsid w:val="00903533"/>
    <w:rsid w:val="00903646"/>
    <w:rsid w:val="00904B23"/>
    <w:rsid w:val="00904E11"/>
    <w:rsid w:val="009052FC"/>
    <w:rsid w:val="00905780"/>
    <w:rsid w:val="0090631D"/>
    <w:rsid w:val="00906B90"/>
    <w:rsid w:val="00907380"/>
    <w:rsid w:val="009074A3"/>
    <w:rsid w:val="00907E8F"/>
    <w:rsid w:val="00910F01"/>
    <w:rsid w:val="009112D7"/>
    <w:rsid w:val="009119B9"/>
    <w:rsid w:val="009121EC"/>
    <w:rsid w:val="00912A88"/>
    <w:rsid w:val="0091390A"/>
    <w:rsid w:val="00913D16"/>
    <w:rsid w:val="0091468D"/>
    <w:rsid w:val="00915850"/>
    <w:rsid w:val="00915A33"/>
    <w:rsid w:val="00915E41"/>
    <w:rsid w:val="009176E8"/>
    <w:rsid w:val="00920013"/>
    <w:rsid w:val="00920E32"/>
    <w:rsid w:val="009215E0"/>
    <w:rsid w:val="009216BC"/>
    <w:rsid w:val="00921E55"/>
    <w:rsid w:val="00921E69"/>
    <w:rsid w:val="009232E5"/>
    <w:rsid w:val="00923DFD"/>
    <w:rsid w:val="00927D53"/>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0C28"/>
    <w:rsid w:val="00941AAB"/>
    <w:rsid w:val="00941AB8"/>
    <w:rsid w:val="00942A92"/>
    <w:rsid w:val="009433E4"/>
    <w:rsid w:val="0094349B"/>
    <w:rsid w:val="00944C33"/>
    <w:rsid w:val="00945AFC"/>
    <w:rsid w:val="0094618D"/>
    <w:rsid w:val="0094649C"/>
    <w:rsid w:val="00946A45"/>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78"/>
    <w:rsid w:val="00961A90"/>
    <w:rsid w:val="00961AE9"/>
    <w:rsid w:val="0096214B"/>
    <w:rsid w:val="009635BD"/>
    <w:rsid w:val="009645B9"/>
    <w:rsid w:val="0096462D"/>
    <w:rsid w:val="00964643"/>
    <w:rsid w:val="00966611"/>
    <w:rsid w:val="00966D4A"/>
    <w:rsid w:val="0097002B"/>
    <w:rsid w:val="009703CA"/>
    <w:rsid w:val="00971C1C"/>
    <w:rsid w:val="00971E87"/>
    <w:rsid w:val="00973D79"/>
    <w:rsid w:val="0097487D"/>
    <w:rsid w:val="009752AC"/>
    <w:rsid w:val="009767D8"/>
    <w:rsid w:val="00976F52"/>
    <w:rsid w:val="0098040D"/>
    <w:rsid w:val="00981334"/>
    <w:rsid w:val="0098227E"/>
    <w:rsid w:val="009828A9"/>
    <w:rsid w:val="00982A1D"/>
    <w:rsid w:val="00982B9F"/>
    <w:rsid w:val="00984211"/>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48A1"/>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A66"/>
    <w:rsid w:val="009C0C96"/>
    <w:rsid w:val="009C0D36"/>
    <w:rsid w:val="009C2113"/>
    <w:rsid w:val="009C2326"/>
    <w:rsid w:val="009C3FD6"/>
    <w:rsid w:val="009C44D2"/>
    <w:rsid w:val="009C452C"/>
    <w:rsid w:val="009C5C59"/>
    <w:rsid w:val="009C5C62"/>
    <w:rsid w:val="009C606B"/>
    <w:rsid w:val="009C6438"/>
    <w:rsid w:val="009C6E6C"/>
    <w:rsid w:val="009C7535"/>
    <w:rsid w:val="009D2230"/>
    <w:rsid w:val="009D2283"/>
    <w:rsid w:val="009D25A7"/>
    <w:rsid w:val="009D3394"/>
    <w:rsid w:val="009D3ED4"/>
    <w:rsid w:val="009D4BF2"/>
    <w:rsid w:val="009D5C52"/>
    <w:rsid w:val="009D6980"/>
    <w:rsid w:val="009D755B"/>
    <w:rsid w:val="009D766F"/>
    <w:rsid w:val="009E139D"/>
    <w:rsid w:val="009E1474"/>
    <w:rsid w:val="009E1D39"/>
    <w:rsid w:val="009E2574"/>
    <w:rsid w:val="009E2FBE"/>
    <w:rsid w:val="009E3773"/>
    <w:rsid w:val="009E377D"/>
    <w:rsid w:val="009E3899"/>
    <w:rsid w:val="009E61AB"/>
    <w:rsid w:val="009E6219"/>
    <w:rsid w:val="009E6222"/>
    <w:rsid w:val="009E6E25"/>
    <w:rsid w:val="009E7041"/>
    <w:rsid w:val="009E7057"/>
    <w:rsid w:val="009E7C09"/>
    <w:rsid w:val="009E7FF0"/>
    <w:rsid w:val="009F12BD"/>
    <w:rsid w:val="009F13FE"/>
    <w:rsid w:val="009F24F2"/>
    <w:rsid w:val="009F2590"/>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4EA0"/>
    <w:rsid w:val="00A154F8"/>
    <w:rsid w:val="00A17B89"/>
    <w:rsid w:val="00A203C9"/>
    <w:rsid w:val="00A209BF"/>
    <w:rsid w:val="00A21287"/>
    <w:rsid w:val="00A22790"/>
    <w:rsid w:val="00A231C4"/>
    <w:rsid w:val="00A24F2C"/>
    <w:rsid w:val="00A25469"/>
    <w:rsid w:val="00A26F19"/>
    <w:rsid w:val="00A27E5B"/>
    <w:rsid w:val="00A30FF0"/>
    <w:rsid w:val="00A3145D"/>
    <w:rsid w:val="00A326EC"/>
    <w:rsid w:val="00A3388D"/>
    <w:rsid w:val="00A3393B"/>
    <w:rsid w:val="00A33C5F"/>
    <w:rsid w:val="00A33ED3"/>
    <w:rsid w:val="00A34541"/>
    <w:rsid w:val="00A353FF"/>
    <w:rsid w:val="00A35881"/>
    <w:rsid w:val="00A36C78"/>
    <w:rsid w:val="00A37A98"/>
    <w:rsid w:val="00A37AE4"/>
    <w:rsid w:val="00A37E07"/>
    <w:rsid w:val="00A41D76"/>
    <w:rsid w:val="00A42604"/>
    <w:rsid w:val="00A4287D"/>
    <w:rsid w:val="00A42BCA"/>
    <w:rsid w:val="00A43848"/>
    <w:rsid w:val="00A438BB"/>
    <w:rsid w:val="00A455CD"/>
    <w:rsid w:val="00A45738"/>
    <w:rsid w:val="00A46419"/>
    <w:rsid w:val="00A47B34"/>
    <w:rsid w:val="00A501C2"/>
    <w:rsid w:val="00A505E6"/>
    <w:rsid w:val="00A50629"/>
    <w:rsid w:val="00A50ACC"/>
    <w:rsid w:val="00A51ED8"/>
    <w:rsid w:val="00A54B21"/>
    <w:rsid w:val="00A56101"/>
    <w:rsid w:val="00A6180C"/>
    <w:rsid w:val="00A62172"/>
    <w:rsid w:val="00A62F83"/>
    <w:rsid w:val="00A632C6"/>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5AC"/>
    <w:rsid w:val="00AC3E1F"/>
    <w:rsid w:val="00AC40EE"/>
    <w:rsid w:val="00AC41A2"/>
    <w:rsid w:val="00AC4216"/>
    <w:rsid w:val="00AC46A0"/>
    <w:rsid w:val="00AC49FF"/>
    <w:rsid w:val="00AC4F3B"/>
    <w:rsid w:val="00AC5E6C"/>
    <w:rsid w:val="00AC6F47"/>
    <w:rsid w:val="00AD1F78"/>
    <w:rsid w:val="00AD1FDF"/>
    <w:rsid w:val="00AD20AF"/>
    <w:rsid w:val="00AD272C"/>
    <w:rsid w:val="00AD3F55"/>
    <w:rsid w:val="00AD4211"/>
    <w:rsid w:val="00AD429C"/>
    <w:rsid w:val="00AD48DD"/>
    <w:rsid w:val="00AD4A2C"/>
    <w:rsid w:val="00AD4B4E"/>
    <w:rsid w:val="00AD503C"/>
    <w:rsid w:val="00AD57B7"/>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44C"/>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3B1"/>
    <w:rsid w:val="00B14628"/>
    <w:rsid w:val="00B151EE"/>
    <w:rsid w:val="00B15FB2"/>
    <w:rsid w:val="00B16B2D"/>
    <w:rsid w:val="00B1726B"/>
    <w:rsid w:val="00B17715"/>
    <w:rsid w:val="00B17E57"/>
    <w:rsid w:val="00B21812"/>
    <w:rsid w:val="00B23176"/>
    <w:rsid w:val="00B23D88"/>
    <w:rsid w:val="00B245BE"/>
    <w:rsid w:val="00B2488B"/>
    <w:rsid w:val="00B24C81"/>
    <w:rsid w:val="00B24F18"/>
    <w:rsid w:val="00B2687A"/>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144A"/>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2704"/>
    <w:rsid w:val="00B93063"/>
    <w:rsid w:val="00B93152"/>
    <w:rsid w:val="00B9412F"/>
    <w:rsid w:val="00B945DF"/>
    <w:rsid w:val="00B94BC6"/>
    <w:rsid w:val="00B94EC1"/>
    <w:rsid w:val="00B957DD"/>
    <w:rsid w:val="00B9632C"/>
    <w:rsid w:val="00B97799"/>
    <w:rsid w:val="00B97926"/>
    <w:rsid w:val="00BA0956"/>
    <w:rsid w:val="00BA1969"/>
    <w:rsid w:val="00BA24FF"/>
    <w:rsid w:val="00BA2C6F"/>
    <w:rsid w:val="00BA2FA3"/>
    <w:rsid w:val="00BA3CD0"/>
    <w:rsid w:val="00BA43FD"/>
    <w:rsid w:val="00BA4989"/>
    <w:rsid w:val="00BA6B13"/>
    <w:rsid w:val="00BA7797"/>
    <w:rsid w:val="00BB0D3A"/>
    <w:rsid w:val="00BB10B1"/>
    <w:rsid w:val="00BB1E8E"/>
    <w:rsid w:val="00BB2B36"/>
    <w:rsid w:val="00BB2E04"/>
    <w:rsid w:val="00BB3892"/>
    <w:rsid w:val="00BB433B"/>
    <w:rsid w:val="00BB46C0"/>
    <w:rsid w:val="00BB4896"/>
    <w:rsid w:val="00BB630A"/>
    <w:rsid w:val="00BB6A3F"/>
    <w:rsid w:val="00BB7572"/>
    <w:rsid w:val="00BC010C"/>
    <w:rsid w:val="00BC029B"/>
    <w:rsid w:val="00BC0494"/>
    <w:rsid w:val="00BC0565"/>
    <w:rsid w:val="00BC090C"/>
    <w:rsid w:val="00BC0B60"/>
    <w:rsid w:val="00BC0E72"/>
    <w:rsid w:val="00BC14AE"/>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5C0"/>
    <w:rsid w:val="00BD6B35"/>
    <w:rsid w:val="00BD7031"/>
    <w:rsid w:val="00BD7691"/>
    <w:rsid w:val="00BE04A1"/>
    <w:rsid w:val="00BE1C84"/>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0ED6"/>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A72"/>
    <w:rsid w:val="00C05EED"/>
    <w:rsid w:val="00C06B77"/>
    <w:rsid w:val="00C07BCF"/>
    <w:rsid w:val="00C07EE6"/>
    <w:rsid w:val="00C118BA"/>
    <w:rsid w:val="00C12458"/>
    <w:rsid w:val="00C124D7"/>
    <w:rsid w:val="00C139F3"/>
    <w:rsid w:val="00C13CC2"/>
    <w:rsid w:val="00C14EED"/>
    <w:rsid w:val="00C150EC"/>
    <w:rsid w:val="00C1556B"/>
    <w:rsid w:val="00C15CD4"/>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0A8A"/>
    <w:rsid w:val="00C811C5"/>
    <w:rsid w:val="00C8184D"/>
    <w:rsid w:val="00C818C4"/>
    <w:rsid w:val="00C81917"/>
    <w:rsid w:val="00C81AEE"/>
    <w:rsid w:val="00C83999"/>
    <w:rsid w:val="00C83B40"/>
    <w:rsid w:val="00C85038"/>
    <w:rsid w:val="00C85994"/>
    <w:rsid w:val="00C86674"/>
    <w:rsid w:val="00C867D4"/>
    <w:rsid w:val="00C86964"/>
    <w:rsid w:val="00C87F65"/>
    <w:rsid w:val="00C9045B"/>
    <w:rsid w:val="00C90625"/>
    <w:rsid w:val="00C90C09"/>
    <w:rsid w:val="00C90E32"/>
    <w:rsid w:val="00C912D5"/>
    <w:rsid w:val="00C91506"/>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1647"/>
    <w:rsid w:val="00CB1920"/>
    <w:rsid w:val="00CB1C35"/>
    <w:rsid w:val="00CB1ED9"/>
    <w:rsid w:val="00CB2C00"/>
    <w:rsid w:val="00CB33F9"/>
    <w:rsid w:val="00CB3B27"/>
    <w:rsid w:val="00CB55CC"/>
    <w:rsid w:val="00CB5771"/>
    <w:rsid w:val="00CB5C37"/>
    <w:rsid w:val="00CC166D"/>
    <w:rsid w:val="00CC262A"/>
    <w:rsid w:val="00CC2AF4"/>
    <w:rsid w:val="00CC347B"/>
    <w:rsid w:val="00CC4497"/>
    <w:rsid w:val="00CC4CBE"/>
    <w:rsid w:val="00CC600F"/>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87E"/>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D28"/>
    <w:rsid w:val="00D1592B"/>
    <w:rsid w:val="00D1667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054"/>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580"/>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0C0A"/>
    <w:rsid w:val="00D91AA4"/>
    <w:rsid w:val="00D920A5"/>
    <w:rsid w:val="00D9294F"/>
    <w:rsid w:val="00D92E43"/>
    <w:rsid w:val="00D93BFB"/>
    <w:rsid w:val="00D94C7D"/>
    <w:rsid w:val="00D9508A"/>
    <w:rsid w:val="00D95A16"/>
    <w:rsid w:val="00D97599"/>
    <w:rsid w:val="00DA1CD0"/>
    <w:rsid w:val="00DA4056"/>
    <w:rsid w:val="00DA4482"/>
    <w:rsid w:val="00DA4818"/>
    <w:rsid w:val="00DA545E"/>
    <w:rsid w:val="00DA68A6"/>
    <w:rsid w:val="00DA6F0C"/>
    <w:rsid w:val="00DA6F8A"/>
    <w:rsid w:val="00DA7121"/>
    <w:rsid w:val="00DB0147"/>
    <w:rsid w:val="00DB094E"/>
    <w:rsid w:val="00DB0F90"/>
    <w:rsid w:val="00DB1133"/>
    <w:rsid w:val="00DB1205"/>
    <w:rsid w:val="00DB17A5"/>
    <w:rsid w:val="00DB2D28"/>
    <w:rsid w:val="00DB3219"/>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0CBD"/>
    <w:rsid w:val="00DD1059"/>
    <w:rsid w:val="00DD1095"/>
    <w:rsid w:val="00DD1290"/>
    <w:rsid w:val="00DD1315"/>
    <w:rsid w:val="00DD1471"/>
    <w:rsid w:val="00DD1EE9"/>
    <w:rsid w:val="00DD21E7"/>
    <w:rsid w:val="00DD241E"/>
    <w:rsid w:val="00DD247E"/>
    <w:rsid w:val="00DD2708"/>
    <w:rsid w:val="00DD390D"/>
    <w:rsid w:val="00DD43B1"/>
    <w:rsid w:val="00DD59A7"/>
    <w:rsid w:val="00DD5C57"/>
    <w:rsid w:val="00DD60A1"/>
    <w:rsid w:val="00DD6277"/>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525C"/>
    <w:rsid w:val="00DF5286"/>
    <w:rsid w:val="00DF567F"/>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8CB"/>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7312"/>
    <w:rsid w:val="00E6026C"/>
    <w:rsid w:val="00E603B8"/>
    <w:rsid w:val="00E6107E"/>
    <w:rsid w:val="00E6228B"/>
    <w:rsid w:val="00E624A0"/>
    <w:rsid w:val="00E648A6"/>
    <w:rsid w:val="00E64A23"/>
    <w:rsid w:val="00E64A60"/>
    <w:rsid w:val="00E64B18"/>
    <w:rsid w:val="00E65989"/>
    <w:rsid w:val="00E65DF5"/>
    <w:rsid w:val="00E66A43"/>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86FA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34F7"/>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1958"/>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2E44"/>
    <w:rsid w:val="00F34631"/>
    <w:rsid w:val="00F35D59"/>
    <w:rsid w:val="00F35D9A"/>
    <w:rsid w:val="00F35E29"/>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66F4"/>
    <w:rsid w:val="00F672F6"/>
    <w:rsid w:val="00F677FA"/>
    <w:rsid w:val="00F6783E"/>
    <w:rsid w:val="00F6786D"/>
    <w:rsid w:val="00F67913"/>
    <w:rsid w:val="00F67A6E"/>
    <w:rsid w:val="00F7034B"/>
    <w:rsid w:val="00F70454"/>
    <w:rsid w:val="00F71675"/>
    <w:rsid w:val="00F71944"/>
    <w:rsid w:val="00F71A44"/>
    <w:rsid w:val="00F727F7"/>
    <w:rsid w:val="00F7391F"/>
    <w:rsid w:val="00F74A39"/>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4EF3"/>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B701D"/>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E5A56"/>
    <w:rsid w:val="00FE7A88"/>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A0F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rsid w:val="00C05A72"/>
    <w:rPr>
      <w:color w:val="0000FF"/>
      <w:u w:val="single"/>
    </w:rPr>
  </w:style>
  <w:style w:type="paragraph" w:customStyle="1" w:styleId="testoxRiferimento">
    <w:name w:val="testo (x Riferimento)"/>
    <w:basedOn w:val="Normale"/>
    <w:rsid w:val="00B14628"/>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Cs w:val="20"/>
    </w:rPr>
  </w:style>
  <w:style w:type="paragraph" w:customStyle="1" w:styleId="IN">
    <w:name w:val="IN"/>
    <w:rsid w:val="00B14628"/>
    <w:pPr>
      <w:spacing w:line="482" w:lineRule="exact"/>
      <w:jc w:val="both"/>
    </w:pPr>
    <w:rPr>
      <w:rFonts w:ascii="Courier" w:hAnsi="Courier"/>
      <w:sz w:val="24"/>
    </w:rPr>
  </w:style>
  <w:style w:type="paragraph" w:customStyle="1" w:styleId="a">
    <w:basedOn w:val="Normale"/>
    <w:next w:val="Corpotesto"/>
    <w:rsid w:val="00D0087E"/>
    <w:rPr>
      <w:szCs w:val="20"/>
    </w:rPr>
  </w:style>
  <w:style w:type="paragraph" w:styleId="Corpotesto">
    <w:name w:val="Body Text"/>
    <w:basedOn w:val="Normale"/>
    <w:link w:val="CorpotestoCarattere"/>
    <w:rsid w:val="00D0087E"/>
    <w:pPr>
      <w:spacing w:after="120"/>
    </w:pPr>
  </w:style>
  <w:style w:type="character" w:customStyle="1" w:styleId="CorpotestoCarattere">
    <w:name w:val="Corpo testo Carattere"/>
    <w:link w:val="Corpotesto"/>
    <w:rsid w:val="00D0087E"/>
    <w:rPr>
      <w:sz w:val="24"/>
      <w:szCs w:val="24"/>
    </w:rPr>
  </w:style>
  <w:style w:type="paragraph" w:styleId="Nessunaspaziatura">
    <w:name w:val="No Spacing"/>
    <w:uiPriority w:val="1"/>
    <w:qFormat/>
    <w:rsid w:val="002B3409"/>
    <w:rPr>
      <w:rFonts w:ascii="Calibri" w:eastAsia="Calibri" w:hAnsi="Calibri"/>
      <w:sz w:val="22"/>
      <w:szCs w:val="22"/>
      <w:lang w:eastAsia="en-US"/>
    </w:rPr>
  </w:style>
  <w:style w:type="character" w:styleId="Enfasicorsivo">
    <w:name w:val="Emphasis"/>
    <w:qFormat/>
    <w:rsid w:val="008F7FAD"/>
    <w:rPr>
      <w:i/>
      <w:iCs/>
    </w:rPr>
  </w:style>
  <w:style w:type="paragraph" w:styleId="NormaleWeb">
    <w:name w:val="Normal (Web)"/>
    <w:basedOn w:val="Normale"/>
    <w:uiPriority w:val="99"/>
    <w:unhideWhenUsed/>
    <w:rsid w:val="008F7FAD"/>
    <w:pPr>
      <w:spacing w:before="100" w:beforeAutospacing="1" w:after="100" w:afterAutospacing="1"/>
    </w:pPr>
  </w:style>
  <w:style w:type="paragraph" w:styleId="Paragrafoelenco">
    <w:name w:val="List Paragraph"/>
    <w:basedOn w:val="Normale"/>
    <w:uiPriority w:val="34"/>
    <w:qFormat/>
    <w:rsid w:val="008F7FAD"/>
    <w:pPr>
      <w:ind w:left="720"/>
      <w:contextualSpacing/>
    </w:pPr>
  </w:style>
  <w:style w:type="paragraph" w:styleId="Testonotaapidipagina">
    <w:name w:val="footnote text"/>
    <w:basedOn w:val="Normale"/>
    <w:link w:val="TestonotaapidipaginaCarattere"/>
    <w:rsid w:val="008F7FAD"/>
    <w:rPr>
      <w:sz w:val="20"/>
      <w:szCs w:val="20"/>
    </w:rPr>
  </w:style>
  <w:style w:type="character" w:customStyle="1" w:styleId="TestonotaapidipaginaCarattere">
    <w:name w:val="Testo nota a piè di pagina Carattere"/>
    <w:basedOn w:val="Carpredefinitoparagrafo"/>
    <w:link w:val="Testonotaapidipagina"/>
    <w:rsid w:val="008F7FAD"/>
  </w:style>
  <w:style w:type="character" w:styleId="Rimandonotaapidipagina">
    <w:name w:val="footnote reference"/>
    <w:rsid w:val="008F7FAD"/>
    <w:rPr>
      <w:vertAlign w:val="superscript"/>
    </w:rPr>
  </w:style>
  <w:style w:type="character" w:styleId="Rimandocommento">
    <w:name w:val="annotation reference"/>
    <w:rsid w:val="00500928"/>
    <w:rPr>
      <w:sz w:val="16"/>
      <w:szCs w:val="16"/>
    </w:rPr>
  </w:style>
  <w:style w:type="paragraph" w:styleId="Testocommento">
    <w:name w:val="annotation text"/>
    <w:basedOn w:val="Normale"/>
    <w:link w:val="TestocommentoCarattere"/>
    <w:rsid w:val="00500928"/>
    <w:rPr>
      <w:sz w:val="20"/>
      <w:szCs w:val="20"/>
    </w:rPr>
  </w:style>
  <w:style w:type="character" w:customStyle="1" w:styleId="TestocommentoCarattere">
    <w:name w:val="Testo commento Carattere"/>
    <w:basedOn w:val="Carpredefinitoparagrafo"/>
    <w:link w:val="Testocommento"/>
    <w:rsid w:val="00500928"/>
  </w:style>
  <w:style w:type="paragraph" w:styleId="Soggettocommento">
    <w:name w:val="annotation subject"/>
    <w:basedOn w:val="Testocommento"/>
    <w:next w:val="Testocommento"/>
    <w:link w:val="SoggettocommentoCarattere"/>
    <w:rsid w:val="00500928"/>
    <w:rPr>
      <w:b/>
      <w:bCs/>
    </w:rPr>
  </w:style>
  <w:style w:type="character" w:customStyle="1" w:styleId="SoggettocommentoCarattere">
    <w:name w:val="Soggetto commento Carattere"/>
    <w:link w:val="Soggettocommento"/>
    <w:rsid w:val="00500928"/>
    <w:rPr>
      <w:b/>
      <w:bCs/>
    </w:rPr>
  </w:style>
  <w:style w:type="character" w:customStyle="1" w:styleId="UnresolvedMention">
    <w:name w:val="Unresolved Mention"/>
    <w:uiPriority w:val="99"/>
    <w:semiHidden/>
    <w:unhideWhenUsed/>
    <w:rsid w:val="00E308CB"/>
    <w:rPr>
      <w:color w:val="605E5C"/>
      <w:shd w:val="clear" w:color="auto" w:fill="E1DFDD"/>
    </w:rPr>
  </w:style>
  <w:style w:type="table" w:styleId="Grigliatabella">
    <w:name w:val="Table Grid"/>
    <w:basedOn w:val="Tabellanormale"/>
    <w:rsid w:val="00A23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
    <w:name w:val="Comment"/>
    <w:basedOn w:val="Normale"/>
    <w:rsid w:val="00F32E44"/>
    <w:pPr>
      <w:keepLines/>
      <w:spacing w:before="120"/>
      <w:jc w:val="both"/>
    </w:pPr>
    <w:rPr>
      <w:i/>
      <w:color w:val="0000FF"/>
      <w:szCs w:val="20"/>
      <w:lang w:val="en-US" w:eastAsia="en-US"/>
    </w:rPr>
  </w:style>
  <w:style w:type="paragraph" w:styleId="PreformattatoHTML">
    <w:name w:val="HTML Preformatted"/>
    <w:basedOn w:val="Normale"/>
    <w:link w:val="PreformattatoHTMLCarattere"/>
    <w:uiPriority w:val="99"/>
    <w:rsid w:val="0077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7118B"/>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rsid w:val="00C05A72"/>
    <w:rPr>
      <w:color w:val="0000FF"/>
      <w:u w:val="single"/>
    </w:rPr>
  </w:style>
  <w:style w:type="paragraph" w:customStyle="1" w:styleId="testoxRiferimento">
    <w:name w:val="testo (x Riferimento)"/>
    <w:basedOn w:val="Normale"/>
    <w:rsid w:val="00B14628"/>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Cs w:val="20"/>
    </w:rPr>
  </w:style>
  <w:style w:type="paragraph" w:customStyle="1" w:styleId="IN">
    <w:name w:val="IN"/>
    <w:rsid w:val="00B14628"/>
    <w:pPr>
      <w:spacing w:line="482" w:lineRule="exact"/>
      <w:jc w:val="both"/>
    </w:pPr>
    <w:rPr>
      <w:rFonts w:ascii="Courier" w:hAnsi="Courier"/>
      <w:sz w:val="24"/>
    </w:rPr>
  </w:style>
  <w:style w:type="paragraph" w:customStyle="1" w:styleId="a">
    <w:basedOn w:val="Normale"/>
    <w:next w:val="Corpotesto"/>
    <w:rsid w:val="00D0087E"/>
    <w:rPr>
      <w:szCs w:val="20"/>
    </w:rPr>
  </w:style>
  <w:style w:type="paragraph" w:styleId="Corpotesto">
    <w:name w:val="Body Text"/>
    <w:basedOn w:val="Normale"/>
    <w:link w:val="CorpotestoCarattere"/>
    <w:rsid w:val="00D0087E"/>
    <w:pPr>
      <w:spacing w:after="120"/>
    </w:pPr>
  </w:style>
  <w:style w:type="character" w:customStyle="1" w:styleId="CorpotestoCarattere">
    <w:name w:val="Corpo testo Carattere"/>
    <w:link w:val="Corpotesto"/>
    <w:rsid w:val="00D0087E"/>
    <w:rPr>
      <w:sz w:val="24"/>
      <w:szCs w:val="24"/>
    </w:rPr>
  </w:style>
  <w:style w:type="paragraph" w:styleId="Nessunaspaziatura">
    <w:name w:val="No Spacing"/>
    <w:uiPriority w:val="1"/>
    <w:qFormat/>
    <w:rsid w:val="002B3409"/>
    <w:rPr>
      <w:rFonts w:ascii="Calibri" w:eastAsia="Calibri" w:hAnsi="Calibri"/>
      <w:sz w:val="22"/>
      <w:szCs w:val="22"/>
      <w:lang w:eastAsia="en-US"/>
    </w:rPr>
  </w:style>
  <w:style w:type="character" w:styleId="Enfasicorsivo">
    <w:name w:val="Emphasis"/>
    <w:qFormat/>
    <w:rsid w:val="008F7FAD"/>
    <w:rPr>
      <w:i/>
      <w:iCs/>
    </w:rPr>
  </w:style>
  <w:style w:type="paragraph" w:styleId="NormaleWeb">
    <w:name w:val="Normal (Web)"/>
    <w:basedOn w:val="Normale"/>
    <w:uiPriority w:val="99"/>
    <w:unhideWhenUsed/>
    <w:rsid w:val="008F7FAD"/>
    <w:pPr>
      <w:spacing w:before="100" w:beforeAutospacing="1" w:after="100" w:afterAutospacing="1"/>
    </w:pPr>
  </w:style>
  <w:style w:type="paragraph" w:styleId="Paragrafoelenco">
    <w:name w:val="List Paragraph"/>
    <w:basedOn w:val="Normale"/>
    <w:uiPriority w:val="34"/>
    <w:qFormat/>
    <w:rsid w:val="008F7FAD"/>
    <w:pPr>
      <w:ind w:left="720"/>
      <w:contextualSpacing/>
    </w:pPr>
  </w:style>
  <w:style w:type="paragraph" w:styleId="Testonotaapidipagina">
    <w:name w:val="footnote text"/>
    <w:basedOn w:val="Normale"/>
    <w:link w:val="TestonotaapidipaginaCarattere"/>
    <w:rsid w:val="008F7FAD"/>
    <w:rPr>
      <w:sz w:val="20"/>
      <w:szCs w:val="20"/>
    </w:rPr>
  </w:style>
  <w:style w:type="character" w:customStyle="1" w:styleId="TestonotaapidipaginaCarattere">
    <w:name w:val="Testo nota a piè di pagina Carattere"/>
    <w:basedOn w:val="Carpredefinitoparagrafo"/>
    <w:link w:val="Testonotaapidipagina"/>
    <w:rsid w:val="008F7FAD"/>
  </w:style>
  <w:style w:type="character" w:styleId="Rimandonotaapidipagina">
    <w:name w:val="footnote reference"/>
    <w:rsid w:val="008F7FAD"/>
    <w:rPr>
      <w:vertAlign w:val="superscript"/>
    </w:rPr>
  </w:style>
  <w:style w:type="character" w:styleId="Rimandocommento">
    <w:name w:val="annotation reference"/>
    <w:rsid w:val="00500928"/>
    <w:rPr>
      <w:sz w:val="16"/>
      <w:szCs w:val="16"/>
    </w:rPr>
  </w:style>
  <w:style w:type="paragraph" w:styleId="Testocommento">
    <w:name w:val="annotation text"/>
    <w:basedOn w:val="Normale"/>
    <w:link w:val="TestocommentoCarattere"/>
    <w:rsid w:val="00500928"/>
    <w:rPr>
      <w:sz w:val="20"/>
      <w:szCs w:val="20"/>
    </w:rPr>
  </w:style>
  <w:style w:type="character" w:customStyle="1" w:styleId="TestocommentoCarattere">
    <w:name w:val="Testo commento Carattere"/>
    <w:basedOn w:val="Carpredefinitoparagrafo"/>
    <w:link w:val="Testocommento"/>
    <w:rsid w:val="00500928"/>
  </w:style>
  <w:style w:type="paragraph" w:styleId="Soggettocommento">
    <w:name w:val="annotation subject"/>
    <w:basedOn w:val="Testocommento"/>
    <w:next w:val="Testocommento"/>
    <w:link w:val="SoggettocommentoCarattere"/>
    <w:rsid w:val="00500928"/>
    <w:rPr>
      <w:b/>
      <w:bCs/>
    </w:rPr>
  </w:style>
  <w:style w:type="character" w:customStyle="1" w:styleId="SoggettocommentoCarattere">
    <w:name w:val="Soggetto commento Carattere"/>
    <w:link w:val="Soggettocommento"/>
    <w:rsid w:val="00500928"/>
    <w:rPr>
      <w:b/>
      <w:bCs/>
    </w:rPr>
  </w:style>
  <w:style w:type="character" w:customStyle="1" w:styleId="UnresolvedMention">
    <w:name w:val="Unresolved Mention"/>
    <w:uiPriority w:val="99"/>
    <w:semiHidden/>
    <w:unhideWhenUsed/>
    <w:rsid w:val="00E308CB"/>
    <w:rPr>
      <w:color w:val="605E5C"/>
      <w:shd w:val="clear" w:color="auto" w:fill="E1DFDD"/>
    </w:rPr>
  </w:style>
  <w:style w:type="table" w:styleId="Grigliatabella">
    <w:name w:val="Table Grid"/>
    <w:basedOn w:val="Tabellanormale"/>
    <w:rsid w:val="00A23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
    <w:name w:val="Comment"/>
    <w:basedOn w:val="Normale"/>
    <w:rsid w:val="00F32E44"/>
    <w:pPr>
      <w:keepLines/>
      <w:spacing w:before="120"/>
      <w:jc w:val="both"/>
    </w:pPr>
    <w:rPr>
      <w:i/>
      <w:color w:val="0000FF"/>
      <w:szCs w:val="20"/>
      <w:lang w:val="en-US" w:eastAsia="en-US"/>
    </w:rPr>
  </w:style>
  <w:style w:type="paragraph" w:styleId="PreformattatoHTML">
    <w:name w:val="HTML Preformatted"/>
    <w:basedOn w:val="Normale"/>
    <w:link w:val="PreformattatoHTMLCarattere"/>
    <w:uiPriority w:val="99"/>
    <w:rsid w:val="0077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7118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82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mec.dipartimento@pec.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1556</Words>
  <Characters>10279</Characters>
  <Application>Microsoft Office Word</Application>
  <DocSecurity>4</DocSecurity>
  <Lines>85</Lines>
  <Paragraphs>23</Paragraphs>
  <ScaleCrop>false</ScaleCrop>
  <HeadingPairs>
    <vt:vector size="2" baseType="variant">
      <vt:variant>
        <vt:lpstr>Titolo</vt:lpstr>
      </vt:variant>
      <vt:variant>
        <vt:i4>1</vt:i4>
      </vt:variant>
    </vt:vector>
  </HeadingPairs>
  <TitlesOfParts>
    <vt:vector size="1" baseType="lpstr">
      <vt:lpstr>ARAG</vt:lpstr>
    </vt:vector>
  </TitlesOfParts>
  <Company>Università di Bologna</Company>
  <LinksUpToDate>false</LinksUpToDate>
  <CharactersWithSpaces>11812</CharactersWithSpaces>
  <SharedDoc>false</SharedDoc>
  <HLinks>
    <vt:vector size="12" baseType="variant">
      <vt:variant>
        <vt:i4>7929880</vt:i4>
      </vt:variant>
      <vt:variant>
        <vt:i4>0</vt:i4>
      </vt:variant>
      <vt:variant>
        <vt:i4>0</vt:i4>
      </vt:variant>
      <vt:variant>
        <vt:i4>5</vt:i4>
      </vt:variant>
      <vt:variant>
        <vt:lpwstr>https://www.aricweb.unibo.it/AssegniRicerca_Richieste/index.aspx</vt:lpwstr>
      </vt:variant>
      <vt:variant>
        <vt:lpwstr/>
      </vt:variant>
      <vt:variant>
        <vt:i4>4915313</vt:i4>
      </vt:variant>
      <vt:variant>
        <vt:i4>0</vt:i4>
      </vt:variant>
      <vt:variant>
        <vt:i4>0</vt:i4>
      </vt:variant>
      <vt:variant>
        <vt:i4>5</vt:i4>
      </vt:variant>
      <vt:variant>
        <vt:lpwstr>mailto:dimec.dipartimento@pec.unibo.it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ARAG</dc:title>
  <dc:creator>Administrator</dc:creator>
  <cp:lastModifiedBy>Reparto</cp:lastModifiedBy>
  <cp:revision>2</cp:revision>
  <cp:lastPrinted>2017-02-03T09:22:00Z</cp:lastPrinted>
  <dcterms:created xsi:type="dcterms:W3CDTF">2023-02-06T13:38:00Z</dcterms:created>
  <dcterms:modified xsi:type="dcterms:W3CDTF">2023-02-06T13:38:00Z</dcterms:modified>
</cp:coreProperties>
</file>